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3D1DEC" w14:textId="612197C2" w:rsidR="008E0E4B" w:rsidRPr="00BB107A" w:rsidRDefault="00555F56" w:rsidP="008555A9">
      <w:pPr>
        <w:pStyle w:val="Heading7"/>
        <w:rPr>
          <w:sz w:val="28"/>
          <w:szCs w:val="28"/>
          <w:lang w:val="fr-FR"/>
        </w:rPr>
      </w:pPr>
      <w:bookmarkStart w:id="0" w:name="OLE_LINK1"/>
      <w:bookmarkStart w:id="1" w:name="OLE_LINK2"/>
      <w:r w:rsidRPr="00555F56">
        <w:rPr>
          <w:sz w:val="28"/>
          <w:szCs w:val="28"/>
          <w:lang w:val="fr-FR"/>
        </w:rPr>
        <w:t>PIC13/S7/2</w:t>
      </w:r>
      <w:bookmarkStart w:id="2" w:name="_GoBack"/>
      <w:bookmarkEnd w:id="2"/>
      <w:r>
        <w:rPr>
          <w:sz w:val="28"/>
          <w:szCs w:val="28"/>
          <w:lang w:val="fr-FR"/>
        </w:rPr>
        <w:br/>
      </w:r>
      <w:r w:rsidR="00BB107A" w:rsidRPr="00BB107A">
        <w:rPr>
          <w:sz w:val="28"/>
          <w:szCs w:val="28"/>
          <w:lang w:val="fr-FR"/>
        </w:rPr>
        <w:t>Perfectionnement du personnel de santé en Océanie –Mieux comprendre le personnel médical océanien</w:t>
      </w:r>
    </w:p>
    <w:p w14:paraId="1DB1B689" w14:textId="77777777" w:rsidR="00BB107A" w:rsidRDefault="00BB107A"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p>
    <w:p w14:paraId="45B46A67" w14:textId="77777777" w:rsidR="00984FF7" w:rsidRPr="00BB107A" w:rsidRDefault="00BB107A"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r w:rsidRPr="00BB107A">
        <w:rPr>
          <w:rFonts w:ascii="Times New Roman" w:hAnsi="Times New Roman" w:cs="Times New Roman"/>
          <w:lang w:val="fr-FR"/>
        </w:rPr>
        <w:t>Pour concrétiser le concept des îles-santé et la couverture sanitaire universelle, le personnel de santé doit être disponible en effectif suffisant, bien réparti géographiquement et doté du savoir-faire et de l’éventail de compétences adéquats. Les États et Territoires insulaires océaniens en sont conscients, et les réunions des ministres de la Santé des pays océaniens de 2017 et des directeurs de santé de 2019 ont insisté sur la nécessité d’améliorer la disponibilité de données de qualité au sujet des personnels de santé dans la région.</w:t>
      </w:r>
    </w:p>
    <w:p w14:paraId="3562D9F2" w14:textId="77777777" w:rsidR="00984FF7" w:rsidRPr="00BB107A" w:rsidRDefault="00984FF7"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p>
    <w:p w14:paraId="2C4FDB4D" w14:textId="77777777" w:rsidR="00BB107A" w:rsidRPr="00BB107A"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r w:rsidRPr="00BB107A">
        <w:rPr>
          <w:rFonts w:ascii="Times New Roman" w:hAnsi="Times New Roman" w:cs="Times New Roman"/>
          <w:lang w:val="fr-FR"/>
        </w:rPr>
        <w:t>Le présent document expose les résultats d’une enquête approfondie portant sur le nombre et le profil (notamment les diplômes) des médecins océaniens employés par les ministères de la Santé dans 14 États insulaires océaniens. Cette enquête approfondie constitue la première phase d’une enquête régionale à plus grande échelle qui portera sur 22 États et Territoires insulaires océaniens et d’autres catégories de personnels de santé. Le résultat de l’enquête régionale à plus grande échelle sera présenté à l’occasion de la réunion des ministres de la Santé des pays océaniens en 2021.</w:t>
      </w:r>
    </w:p>
    <w:p w14:paraId="0E9CF044" w14:textId="77777777" w:rsidR="00BB107A" w:rsidRPr="00BB107A"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p>
    <w:p w14:paraId="35BA2BA2" w14:textId="59AE6DD6" w:rsidR="00BB107A" w:rsidRPr="00BB107A"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r w:rsidRPr="00BB107A">
        <w:rPr>
          <w:rFonts w:ascii="Times New Roman" w:hAnsi="Times New Roman" w:cs="Times New Roman"/>
          <w:lang w:val="fr-FR"/>
        </w:rPr>
        <w:t>Globalement, le nombre total de médecins locaux employés par les 14 pays ayant fait l’objet de l’enquête est passé de 783 en 2012 à 1293 en 2019, ce qui représente 510 médecins locaux supplémentaires, soit une augmentation de 65</w:t>
      </w:r>
      <w:r w:rsidR="00C443FE">
        <w:rPr>
          <w:rFonts w:ascii="Times New Roman" w:hAnsi="Times New Roman" w:cs="Times New Roman"/>
          <w:lang w:val="fr-FR"/>
        </w:rPr>
        <w:t> </w:t>
      </w:r>
      <w:r w:rsidRPr="00BB107A">
        <w:rPr>
          <w:rFonts w:ascii="Times New Roman" w:hAnsi="Times New Roman" w:cs="Times New Roman"/>
          <w:lang w:val="fr-FR"/>
        </w:rPr>
        <w:t xml:space="preserve">%. Le nombre de femmes océaniennes est en hausse au sein du personnel médical, ainsi que parmi les médecins spécialistes ou titulaires de masters. Malgré l’augmentation du nombre de médecins et de spécialistes océaniens, la plupart des pays n’ont pas atteint les cibles fixées par le rapport de la Commission du Lancet sur la chirurgie dans le monde concernant le nombre minimal de chirurgiens, anesthésistes et obstétriciens spécialisés. Dans les pays ayant fait l’objet de l’enquête, 55 médecins locaux étaient diplômés en santé publique et dans d’autres domaines connexes. C’est peu par rapport aux 387 médecins océaniens ayant validé une formation clinique d’études supérieures. Même si les médecins océaniens sont moins nombreux à être diplômés dans les domaines de la santé publique, de l’épidémiologie ou de la gestion des services de santé, d’autres catégories de personnels de santé (par exemple le personnel infirmier, les inspecteurs des </w:t>
      </w:r>
      <w:r w:rsidRPr="00BB107A">
        <w:rPr>
          <w:rFonts w:ascii="Times New Roman" w:hAnsi="Times New Roman" w:cs="Times New Roman"/>
          <w:lang w:val="fr-FR"/>
        </w:rPr>
        <w:lastRenderedPageBreak/>
        <w:t>services sanitaires, les diététiciens, etc.) ont reçu une formation dans ces domaines, en particulier dans la santé publique.</w:t>
      </w:r>
    </w:p>
    <w:p w14:paraId="4228B1E7" w14:textId="77777777" w:rsidR="00BB107A" w:rsidRPr="00BB107A"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p>
    <w:p w14:paraId="2E3DD2C5" w14:textId="77777777" w:rsidR="000957E1"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r w:rsidRPr="00BB107A">
        <w:rPr>
          <w:rFonts w:ascii="Times New Roman" w:hAnsi="Times New Roman" w:cs="Times New Roman"/>
          <w:lang w:val="fr-FR"/>
        </w:rPr>
        <w:t>Les ministres sont invités à faire part des principaux défis à relever et à débattre des mesures proposées pour l’avenir, y compris des recommandations contenues dans les présentes.</w:t>
      </w:r>
    </w:p>
    <w:p w14:paraId="14CB9FF8" w14:textId="77777777" w:rsidR="00BB107A" w:rsidRPr="00BB107A" w:rsidRDefault="00BB107A" w:rsidP="00BB107A">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lang w:val="fr-FR"/>
        </w:rPr>
      </w:pPr>
    </w:p>
    <w:p w14:paraId="62C49CBF" w14:textId="77777777" w:rsidR="00462C9B" w:rsidRPr="00864253" w:rsidRDefault="00462C9B" w:rsidP="00E67BB4">
      <w:pPr>
        <w:pStyle w:val="NoSpacing"/>
        <w:spacing w:line="360" w:lineRule="auto"/>
        <w:jc w:val="both"/>
        <w:rPr>
          <w:rFonts w:ascii="Times New Roman" w:hAnsi="Times New Roman" w:cs="Times New Roman"/>
          <w:lang w:val="fr-FR"/>
        </w:rPr>
      </w:pPr>
    </w:p>
    <w:bookmarkEnd w:id="0"/>
    <w:bookmarkEnd w:id="1"/>
    <w:p w14:paraId="2BBE394F" w14:textId="77777777" w:rsidR="00B55659" w:rsidRPr="00864253" w:rsidRDefault="00B55659" w:rsidP="004A6D7B">
      <w:pPr>
        <w:spacing w:after="0" w:line="360" w:lineRule="auto"/>
        <w:jc w:val="center"/>
        <w:rPr>
          <w:rFonts w:asciiTheme="majorBidi" w:eastAsia="Malgun Gothic" w:hAnsiTheme="majorBidi" w:cstheme="majorBidi"/>
          <w:b/>
          <w:bCs/>
          <w:lang w:val="fr-FR" w:eastAsia="ko-KR"/>
        </w:rPr>
      </w:pPr>
    </w:p>
    <w:p w14:paraId="3BA95115" w14:textId="77777777" w:rsidR="0058504B" w:rsidRDefault="00BB107A" w:rsidP="00A54470">
      <w:pPr>
        <w:numPr>
          <w:ilvl w:val="0"/>
          <w:numId w:val="43"/>
        </w:numPr>
        <w:spacing w:after="0" w:line="360" w:lineRule="auto"/>
        <w:jc w:val="center"/>
        <w:rPr>
          <w:rFonts w:asciiTheme="majorBidi" w:hAnsiTheme="majorBidi" w:cstheme="majorBidi"/>
          <w:b/>
          <w:bCs/>
        </w:rPr>
      </w:pPr>
      <w:r>
        <w:rPr>
          <w:rFonts w:asciiTheme="majorBidi" w:hAnsiTheme="majorBidi" w:cstheme="majorBidi"/>
          <w:b/>
          <w:bCs/>
        </w:rPr>
        <w:t>CONTEXTE</w:t>
      </w:r>
    </w:p>
    <w:p w14:paraId="6998741C" w14:textId="77777777" w:rsidR="00A54470" w:rsidRPr="00BB107A" w:rsidRDefault="00A54470" w:rsidP="00AB3AF6">
      <w:pPr>
        <w:pStyle w:val="NoSpacing"/>
        <w:spacing w:line="360" w:lineRule="auto"/>
        <w:jc w:val="both"/>
        <w:rPr>
          <w:rFonts w:ascii="Times New Roman" w:hAnsi="Times New Roman" w:cs="Times New Roman"/>
          <w:lang w:val="fr-FR"/>
        </w:rPr>
      </w:pPr>
    </w:p>
    <w:p w14:paraId="18AB3C14" w14:textId="77777777" w:rsidR="00F47912" w:rsidRPr="00BB107A" w:rsidRDefault="00BB107A" w:rsidP="00AB3AF6">
      <w:pPr>
        <w:pStyle w:val="NoSpacing"/>
        <w:spacing w:line="360" w:lineRule="auto"/>
        <w:jc w:val="both"/>
        <w:rPr>
          <w:rFonts w:ascii="Times New Roman" w:hAnsi="Times New Roman" w:cs="Times New Roman"/>
          <w:lang w:val="fr-FR"/>
        </w:rPr>
      </w:pPr>
      <w:r w:rsidRPr="00BB107A">
        <w:rPr>
          <w:rFonts w:ascii="Times New Roman" w:hAnsi="Times New Roman" w:cs="Times New Roman"/>
          <w:lang w:val="fr-FR"/>
        </w:rPr>
        <w:t>Les agents de santé sont indispensables au fonctionnement des systèmes de santé. Le Pacifique a besoin de personnels de santé disponibles en effectif suffisant, bien répartis géographiquement et dotés du savoir-faire et de l’éventail de compétences adéquat pour concrétiser le concept des îles-santé et la couverture sanitaire universelle. Lors de précédentes réunions régionales, les ministres de la Santé et les directeurs de la santé du Pacifique ont fait savoir qu’il était nécessaire de faire face aux grands problèmes des personnels de santé et de relever les défis en la matière, notamment en améliorant la disponibilité de données de qualité concernant les personnels de santé dans la région. Pour y parvenir, l’OMS et la CPS ont mené une enquête approfondie portant sur le nombre et le profil (notamment les diplômes) des médecins océaniens employés par les ministères de la Santé dans 14 États insulaires océaniens. Cette enquête approfondie constitue la première phase d’une enquête régionale à plus grande échelle qui portera sur 22 États et Territoires insulaires océaniens et d’autres catégories de personnels de santé. Le résultat de l’enquête régionale à plus grande échelle sera présenté lors de la réunion des ministres de la Santé des pays océaniens en 2021. Le présent document a pour objectif de présenter aux ministres de la Santé les résultats de l’enquête approfondie, qui aura des conséquences pour tous les personnels de santé.</w:t>
      </w:r>
    </w:p>
    <w:p w14:paraId="7C2C7FF0" w14:textId="77777777" w:rsidR="00AB3AF6" w:rsidRPr="00F64738" w:rsidRDefault="00AB3AF6" w:rsidP="00AB3AF6">
      <w:pPr>
        <w:pStyle w:val="NoSpacing"/>
        <w:spacing w:line="360" w:lineRule="auto"/>
        <w:jc w:val="both"/>
        <w:rPr>
          <w:rFonts w:ascii="Times New Roman" w:hAnsi="Times New Roman" w:cs="Times New Roman"/>
          <w:u w:val="single"/>
          <w:lang w:val="fr-FR"/>
        </w:rPr>
      </w:pPr>
    </w:p>
    <w:p w14:paraId="52350EA0" w14:textId="77777777" w:rsidR="0058504B" w:rsidRPr="00F64738" w:rsidRDefault="00F64738" w:rsidP="00F64738">
      <w:pPr>
        <w:pStyle w:val="BodyText1"/>
        <w:numPr>
          <w:ilvl w:val="0"/>
          <w:numId w:val="43"/>
        </w:numPr>
        <w:spacing w:after="0"/>
        <w:jc w:val="center"/>
        <w:rPr>
          <w:rFonts w:asciiTheme="majorBidi" w:eastAsia="Malgun Gothic" w:hAnsiTheme="majorBidi" w:cstheme="majorBidi"/>
          <w:b/>
          <w:bCs/>
          <w:lang w:val="fr-FR" w:eastAsia="ko-KR"/>
        </w:rPr>
      </w:pPr>
      <w:r w:rsidRPr="00F64738">
        <w:rPr>
          <w:rFonts w:asciiTheme="majorBidi" w:eastAsia="Malgun Gothic" w:hAnsiTheme="majorBidi" w:cstheme="majorBidi"/>
          <w:b/>
          <w:bCs/>
          <w:lang w:val="fr-FR" w:eastAsia="ko-KR"/>
        </w:rPr>
        <w:t>PROGRÈS RÉALISÉS ET RÉSULTATS OBTENUS</w:t>
      </w:r>
    </w:p>
    <w:p w14:paraId="587EF474" w14:textId="77777777" w:rsidR="00EB097C" w:rsidRPr="00F64738" w:rsidRDefault="00EB097C" w:rsidP="00F64738">
      <w:pPr>
        <w:pStyle w:val="BodyText1"/>
        <w:spacing w:after="0"/>
        <w:ind w:firstLine="0"/>
        <w:rPr>
          <w:rFonts w:asciiTheme="majorBidi" w:eastAsia="Malgun Gothic" w:hAnsiTheme="majorBidi" w:cstheme="majorBidi"/>
          <w:b/>
          <w:bCs/>
          <w:lang w:val="fr-FR" w:eastAsia="ko-KR"/>
        </w:rPr>
      </w:pPr>
    </w:p>
    <w:p w14:paraId="1974E84D" w14:textId="77777777" w:rsidR="00B05F11" w:rsidRPr="00F64738" w:rsidRDefault="00A54470" w:rsidP="00F64738">
      <w:pPr>
        <w:pStyle w:val="BodyText1"/>
        <w:tabs>
          <w:tab w:val="clear" w:pos="0"/>
          <w:tab w:val="left" w:pos="567"/>
        </w:tabs>
        <w:spacing w:after="0"/>
        <w:ind w:left="567" w:hanging="567"/>
        <w:rPr>
          <w:rFonts w:asciiTheme="majorBidi" w:eastAsia="Malgun Gothic" w:hAnsiTheme="majorBidi" w:cstheme="majorBidi"/>
          <w:b/>
          <w:bCs/>
          <w:lang w:val="fr-FR" w:eastAsia="ko-KR"/>
        </w:rPr>
      </w:pPr>
      <w:r w:rsidRPr="00F64738">
        <w:rPr>
          <w:rFonts w:asciiTheme="majorBidi" w:eastAsia="Malgun Gothic" w:hAnsiTheme="majorBidi" w:cstheme="majorBidi"/>
          <w:b/>
          <w:bCs/>
          <w:lang w:val="fr-FR" w:eastAsia="ko-KR"/>
        </w:rPr>
        <w:t>2.1</w:t>
      </w:r>
      <w:r w:rsidRPr="00F64738">
        <w:rPr>
          <w:rFonts w:asciiTheme="majorBidi" w:eastAsia="Malgun Gothic" w:hAnsiTheme="majorBidi" w:cstheme="majorBidi"/>
          <w:b/>
          <w:bCs/>
          <w:lang w:val="fr-FR" w:eastAsia="ko-KR"/>
        </w:rPr>
        <w:tab/>
      </w:r>
      <w:r w:rsidR="00F64738" w:rsidRPr="00F64738">
        <w:rPr>
          <w:b/>
          <w:lang w:val="fr-FR"/>
        </w:rPr>
        <w:t>Augmentation du nombre total de médecins (locaux et expatriés) employés par les ministères de la Santé</w:t>
      </w:r>
    </w:p>
    <w:p w14:paraId="35008380" w14:textId="77777777" w:rsidR="002109B9" w:rsidRPr="00F64738" w:rsidRDefault="002109B9" w:rsidP="004A6D7B">
      <w:pPr>
        <w:pStyle w:val="BodyText1"/>
        <w:spacing w:after="0"/>
        <w:ind w:firstLine="0"/>
        <w:jc w:val="left"/>
        <w:rPr>
          <w:rFonts w:asciiTheme="majorBidi" w:eastAsia="Malgun Gothic" w:hAnsiTheme="majorBidi" w:cstheme="majorBidi"/>
          <w:b/>
          <w:bCs/>
          <w:lang w:val="fr-FR" w:eastAsia="ko-KR"/>
        </w:rPr>
      </w:pPr>
    </w:p>
    <w:p w14:paraId="6FC1A1CF" w14:textId="77777777" w:rsidR="00EB097C" w:rsidRPr="00F64738" w:rsidRDefault="00F64738" w:rsidP="00060597">
      <w:pPr>
        <w:pStyle w:val="Caption"/>
        <w:spacing w:line="360" w:lineRule="auto"/>
        <w:jc w:val="both"/>
        <w:rPr>
          <w:b w:val="0"/>
          <w:sz w:val="22"/>
          <w:szCs w:val="22"/>
          <w:lang w:val="fr-FR"/>
        </w:rPr>
      </w:pPr>
      <w:r w:rsidRPr="00F64738">
        <w:rPr>
          <w:b w:val="0"/>
          <w:sz w:val="22"/>
          <w:szCs w:val="22"/>
          <w:lang w:val="fr-FR"/>
        </w:rPr>
        <w:t>Le nombre total de médecins (locaux et expatriés) employés par le ministère de la Santé a augmenté entre 2012 et 2019 dans tous les pays, sauf deux (Niue et Tokelau). La figure 1 ci-dessous compare le nombre de médecins pour 10 000 habitants dans chaque pays en 2012 et 2019.</w:t>
      </w:r>
    </w:p>
    <w:p w14:paraId="72697A02" w14:textId="77777777" w:rsidR="00EB097C" w:rsidRPr="00864253" w:rsidRDefault="00EB097C" w:rsidP="00EB097C">
      <w:pPr>
        <w:pStyle w:val="Caption"/>
        <w:rPr>
          <w:b w:val="0"/>
          <w:i/>
          <w:lang w:val="fr-FR"/>
        </w:rPr>
      </w:pPr>
    </w:p>
    <w:p w14:paraId="537A89A6" w14:textId="26D5AE28" w:rsidR="00EB097C" w:rsidRPr="002C3856" w:rsidRDefault="00EB097C" w:rsidP="00BB3087">
      <w:pPr>
        <w:pStyle w:val="Caption"/>
        <w:jc w:val="center"/>
        <w:rPr>
          <w:b w:val="0"/>
          <w:i/>
          <w:lang w:val="fr-FR"/>
        </w:rPr>
      </w:pPr>
      <w:r w:rsidRPr="002C3856">
        <w:rPr>
          <w:b w:val="0"/>
          <w:i/>
          <w:lang w:val="fr-FR"/>
        </w:rPr>
        <w:t xml:space="preserve">Figure </w:t>
      </w:r>
      <w:r w:rsidRPr="00EB097C">
        <w:rPr>
          <w:b w:val="0"/>
          <w:i/>
        </w:rPr>
        <w:fldChar w:fldCharType="begin"/>
      </w:r>
      <w:r w:rsidRPr="002C3856">
        <w:rPr>
          <w:b w:val="0"/>
          <w:i/>
          <w:lang w:val="fr-FR"/>
        </w:rPr>
        <w:instrText xml:space="preserve"> SEQ Figure \* ARABIC </w:instrText>
      </w:r>
      <w:r w:rsidRPr="00EB097C">
        <w:rPr>
          <w:b w:val="0"/>
          <w:i/>
        </w:rPr>
        <w:fldChar w:fldCharType="separate"/>
      </w:r>
      <w:r w:rsidR="00A2534F" w:rsidRPr="002C3856">
        <w:rPr>
          <w:b w:val="0"/>
          <w:i/>
          <w:noProof/>
          <w:lang w:val="fr-FR"/>
        </w:rPr>
        <w:t>1</w:t>
      </w:r>
      <w:r w:rsidRPr="00EB097C">
        <w:rPr>
          <w:b w:val="0"/>
          <w:i/>
        </w:rPr>
        <w:fldChar w:fldCharType="end"/>
      </w:r>
      <w:r w:rsidR="00D0112D" w:rsidRPr="002C3856">
        <w:rPr>
          <w:b w:val="0"/>
          <w:i/>
          <w:lang w:val="fr-FR"/>
        </w:rPr>
        <w:t> </w:t>
      </w:r>
      <w:r w:rsidRPr="002C3856">
        <w:rPr>
          <w:b w:val="0"/>
          <w:i/>
          <w:lang w:val="fr-FR"/>
        </w:rPr>
        <w:t xml:space="preserve">: </w:t>
      </w:r>
      <w:r w:rsidR="00D0112D" w:rsidRPr="002C3856">
        <w:rPr>
          <w:b w:val="0"/>
          <w:i/>
          <w:lang w:val="fr-FR"/>
        </w:rPr>
        <w:t>Nombre de</w:t>
      </w:r>
      <w:r w:rsidR="002C3856" w:rsidRPr="002C3856">
        <w:rPr>
          <w:b w:val="0"/>
          <w:i/>
          <w:lang w:val="fr-FR"/>
        </w:rPr>
        <w:t xml:space="preserve"> médecins</w:t>
      </w:r>
      <w:r w:rsidRPr="002C3856">
        <w:rPr>
          <w:b w:val="0"/>
          <w:i/>
          <w:lang w:val="fr-FR"/>
        </w:rPr>
        <w:t xml:space="preserve"> (</w:t>
      </w:r>
      <w:r w:rsidR="002C3856">
        <w:rPr>
          <w:b w:val="0"/>
          <w:i/>
          <w:lang w:val="fr-FR"/>
        </w:rPr>
        <w:t>locaux et expatriés) pour 10 </w:t>
      </w:r>
      <w:r w:rsidRPr="002C3856">
        <w:rPr>
          <w:b w:val="0"/>
          <w:i/>
          <w:lang w:val="fr-FR"/>
        </w:rPr>
        <w:t>000</w:t>
      </w:r>
      <w:r w:rsidR="002C3856">
        <w:rPr>
          <w:b w:val="0"/>
          <w:i/>
          <w:lang w:val="fr-FR"/>
        </w:rPr>
        <w:t> habitants</w:t>
      </w:r>
      <w:r w:rsidR="00BB3087" w:rsidRPr="002C3856">
        <w:rPr>
          <w:b w:val="0"/>
          <w:i/>
          <w:lang w:val="fr-FR"/>
        </w:rPr>
        <w:t xml:space="preserve"> (2012 </w:t>
      </w:r>
      <w:r w:rsidR="002C3856">
        <w:rPr>
          <w:b w:val="0"/>
          <w:i/>
          <w:lang w:val="fr-FR"/>
        </w:rPr>
        <w:t xml:space="preserve">et </w:t>
      </w:r>
      <w:r w:rsidR="00BB3087" w:rsidRPr="002C3856">
        <w:rPr>
          <w:b w:val="0"/>
          <w:i/>
          <w:lang w:val="fr-FR"/>
        </w:rPr>
        <w:t>2019)</w:t>
      </w:r>
    </w:p>
    <w:p w14:paraId="1EFF86F0" w14:textId="77777777" w:rsidR="000B076C" w:rsidRPr="002C3856" w:rsidRDefault="000B076C" w:rsidP="000B076C">
      <w:pPr>
        <w:rPr>
          <w:lang w:val="fr-FR" w:eastAsia="ja-JP"/>
        </w:rPr>
      </w:pPr>
    </w:p>
    <w:p w14:paraId="4BE872AA" w14:textId="77777777" w:rsidR="00EB097C" w:rsidRDefault="00EB097C" w:rsidP="004A6D7B">
      <w:pPr>
        <w:pStyle w:val="BodyText1"/>
        <w:spacing w:after="0"/>
        <w:ind w:firstLine="0"/>
        <w:jc w:val="left"/>
        <w:rPr>
          <w:rFonts w:asciiTheme="majorBidi" w:eastAsia="Malgun Gothic" w:hAnsiTheme="majorBidi" w:cstheme="majorBidi"/>
          <w:b/>
          <w:bCs/>
          <w:u w:val="single"/>
          <w:lang w:eastAsia="ko-KR"/>
        </w:rPr>
      </w:pPr>
      <w:r>
        <w:rPr>
          <w:noProof/>
          <w:lang w:val="en-US"/>
        </w:rPr>
        <w:lastRenderedPageBreak/>
        <w:drawing>
          <wp:inline distT="0" distB="0" distL="0" distR="0" wp14:anchorId="7537E725" wp14:editId="7CAB60D6">
            <wp:extent cx="5732145" cy="2512612"/>
            <wp:effectExtent l="0" t="0" r="1905" b="25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F83B68E" w14:textId="77777777" w:rsidR="000B076C" w:rsidRDefault="000B076C" w:rsidP="00060597">
      <w:pPr>
        <w:pStyle w:val="BodyText1"/>
        <w:spacing w:after="0"/>
        <w:ind w:firstLine="0"/>
        <w:rPr>
          <w:rFonts w:asciiTheme="majorBidi" w:eastAsia="Malgun Gothic" w:hAnsiTheme="majorBidi" w:cstheme="majorBidi"/>
          <w:bCs/>
          <w:lang w:eastAsia="ko-KR"/>
        </w:rPr>
      </w:pPr>
    </w:p>
    <w:p w14:paraId="6AFF3469" w14:textId="77777777" w:rsidR="00453E3E" w:rsidRPr="00246F54" w:rsidRDefault="00246F54" w:rsidP="006E2FE4">
      <w:pPr>
        <w:pStyle w:val="BodyText1"/>
        <w:spacing w:after="0"/>
        <w:ind w:firstLine="0"/>
        <w:rPr>
          <w:rFonts w:asciiTheme="majorBidi" w:eastAsia="Malgun Gothic" w:hAnsiTheme="majorBidi" w:cstheme="majorBidi"/>
          <w:b/>
          <w:bCs/>
          <w:u w:val="single"/>
          <w:lang w:val="fr-FR" w:eastAsia="ko-KR"/>
        </w:rPr>
      </w:pPr>
      <w:r w:rsidRPr="00246F54">
        <w:rPr>
          <w:rFonts w:asciiTheme="majorBidi" w:eastAsia="Malgun Gothic" w:hAnsiTheme="majorBidi" w:cstheme="majorBidi"/>
          <w:bCs/>
          <w:lang w:val="fr-FR" w:eastAsia="ko-KR"/>
        </w:rPr>
        <w:t>Les pays les plus petits compensent le nombre inférieur de médecins locaux par l’emploi de davantage de médecins expatriés. Comme le montre la figure 2 ci-dessous, plus de la moitié des personnels médicaux des Îles Marshall, de Nauru, de Niue, de Tokelau et de Palau sont des médecins expatriés. Dans sept des pays faisant l’objet de l’enquête, la part des médecins expatriés au sein des personnels médicaux est en baisse.</w:t>
      </w:r>
    </w:p>
    <w:p w14:paraId="5B8A7D47" w14:textId="77777777" w:rsidR="00A54470" w:rsidRPr="00864253" w:rsidRDefault="00A54470" w:rsidP="00BB3087">
      <w:pPr>
        <w:pStyle w:val="Caption"/>
        <w:jc w:val="center"/>
        <w:rPr>
          <w:b w:val="0"/>
          <w:i/>
          <w:lang w:val="fr-FR"/>
        </w:rPr>
      </w:pPr>
    </w:p>
    <w:p w14:paraId="6AF5049A" w14:textId="77777777" w:rsidR="00BB3087" w:rsidRPr="00246F54" w:rsidRDefault="00246F54" w:rsidP="00BB3087">
      <w:pPr>
        <w:pStyle w:val="Caption"/>
        <w:jc w:val="center"/>
        <w:rPr>
          <w:b w:val="0"/>
          <w:i/>
          <w:lang w:val="fr-FR"/>
        </w:rPr>
      </w:pPr>
      <w:r w:rsidRPr="00246F54">
        <w:rPr>
          <w:b w:val="0"/>
          <w:i/>
          <w:lang w:val="fr-FR"/>
        </w:rPr>
        <w:t>Figure 2 : Part (en pourcentage) des médecins expatriés au sein des personnels médicaux (2012 et 2019)</w:t>
      </w:r>
    </w:p>
    <w:p w14:paraId="54BE72CB" w14:textId="77777777" w:rsidR="006E2FE4" w:rsidRPr="00864253" w:rsidRDefault="006E2FE4" w:rsidP="006E2FE4">
      <w:pPr>
        <w:rPr>
          <w:lang w:val="fr-FR" w:eastAsia="ja-JP"/>
        </w:rPr>
      </w:pPr>
    </w:p>
    <w:p w14:paraId="2946B07C" w14:textId="77777777" w:rsidR="00BB3087" w:rsidRPr="00BB3087" w:rsidRDefault="00060597" w:rsidP="00BB3087">
      <w:pPr>
        <w:rPr>
          <w:lang w:eastAsia="ja-JP"/>
        </w:rPr>
      </w:pPr>
      <w:r>
        <w:rPr>
          <w:noProof/>
          <w:lang w:val="en-US" w:eastAsia="en-US"/>
        </w:rPr>
        <w:drawing>
          <wp:inline distT="0" distB="0" distL="0" distR="0" wp14:anchorId="55AEEF3F" wp14:editId="331D2751">
            <wp:extent cx="5732145" cy="2997642"/>
            <wp:effectExtent l="0" t="0" r="1905" b="1270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7ED5D9D" w14:textId="77777777" w:rsidR="00AD4BCC" w:rsidRDefault="00AD4BCC" w:rsidP="004A6D7B">
      <w:pPr>
        <w:pStyle w:val="BodyText1"/>
        <w:spacing w:after="0"/>
        <w:ind w:firstLine="0"/>
        <w:jc w:val="left"/>
        <w:rPr>
          <w:rFonts w:asciiTheme="majorBidi" w:eastAsia="Malgun Gothic" w:hAnsiTheme="majorBidi" w:cstheme="majorBidi"/>
          <w:b/>
          <w:bCs/>
          <w:u w:val="single"/>
          <w:lang w:eastAsia="ko-KR"/>
        </w:rPr>
      </w:pPr>
    </w:p>
    <w:p w14:paraId="082D1E57" w14:textId="77777777" w:rsidR="00780219" w:rsidRPr="00246F54" w:rsidRDefault="00A54470" w:rsidP="00980C66">
      <w:pPr>
        <w:pStyle w:val="BodyText1"/>
        <w:tabs>
          <w:tab w:val="clear" w:pos="0"/>
          <w:tab w:val="left" w:pos="567"/>
        </w:tabs>
        <w:spacing w:after="0"/>
        <w:ind w:left="567" w:hanging="567"/>
        <w:jc w:val="left"/>
        <w:rPr>
          <w:rFonts w:asciiTheme="majorBidi" w:eastAsia="Malgun Gothic" w:hAnsiTheme="majorBidi" w:cstheme="majorBidi"/>
          <w:b/>
          <w:bCs/>
          <w:u w:val="single"/>
          <w:lang w:val="fr-FR" w:eastAsia="ko-KR"/>
        </w:rPr>
      </w:pPr>
      <w:r w:rsidRPr="00246F54">
        <w:rPr>
          <w:rFonts w:asciiTheme="majorBidi" w:eastAsia="Malgun Gothic" w:hAnsiTheme="majorBidi" w:cstheme="majorBidi"/>
          <w:b/>
          <w:bCs/>
          <w:lang w:val="fr-FR" w:eastAsia="ko-KR"/>
        </w:rPr>
        <w:t>2.2</w:t>
      </w:r>
      <w:r w:rsidRPr="00246F54">
        <w:rPr>
          <w:rFonts w:asciiTheme="majorBidi" w:eastAsia="Malgun Gothic" w:hAnsiTheme="majorBidi" w:cstheme="majorBidi"/>
          <w:b/>
          <w:bCs/>
          <w:lang w:val="fr-FR" w:eastAsia="ko-KR"/>
        </w:rPr>
        <w:tab/>
      </w:r>
      <w:r w:rsidR="00246F54" w:rsidRPr="00246F54">
        <w:rPr>
          <w:b/>
          <w:lang w:val="fr-FR"/>
        </w:rPr>
        <w:t>Augmentation du nombre de médecins océaniens (locaux)</w:t>
      </w:r>
    </w:p>
    <w:p w14:paraId="45F19BF7" w14:textId="77777777" w:rsidR="00B05F11" w:rsidRPr="00864253" w:rsidRDefault="00B05F11" w:rsidP="004A6D7B">
      <w:pPr>
        <w:pStyle w:val="NoSpacing"/>
        <w:spacing w:line="360" w:lineRule="auto"/>
        <w:jc w:val="both"/>
        <w:rPr>
          <w:rFonts w:ascii="Times New Roman" w:hAnsi="Times New Roman" w:cs="Times New Roman"/>
          <w:lang w:val="fr-FR" w:eastAsia="ko-KR"/>
        </w:rPr>
      </w:pPr>
    </w:p>
    <w:p w14:paraId="60F91A96" w14:textId="34511E0D" w:rsidR="00246F54" w:rsidRPr="00246F54" w:rsidRDefault="00246F54" w:rsidP="00246F54">
      <w:pPr>
        <w:pStyle w:val="NoSpacing"/>
        <w:spacing w:line="360" w:lineRule="auto"/>
        <w:jc w:val="both"/>
        <w:rPr>
          <w:rFonts w:ascii="Times New Roman" w:hAnsi="Times New Roman" w:cs="Times New Roman"/>
          <w:lang w:val="fr-FR" w:eastAsia="ko-KR"/>
        </w:rPr>
      </w:pPr>
      <w:r w:rsidRPr="00246F54">
        <w:rPr>
          <w:rFonts w:ascii="Times New Roman" w:hAnsi="Times New Roman" w:cs="Times New Roman"/>
          <w:lang w:val="fr-FR" w:eastAsia="ko-KR"/>
        </w:rPr>
        <w:lastRenderedPageBreak/>
        <w:t>Le nombre total de médecins locaux employés par les ministères de la Santé des 14 États insulaires océaniens est passé de 783 en 2012 à 1293 en 2019, ce qui représente 510 médecins locaux supplémentaires, soit une augmentation de 65</w:t>
      </w:r>
      <w:r w:rsidR="00C443FE">
        <w:rPr>
          <w:rFonts w:ascii="Times New Roman" w:hAnsi="Times New Roman" w:cs="Times New Roman"/>
          <w:lang w:val="fr-FR" w:eastAsia="ko-KR"/>
        </w:rPr>
        <w:t> </w:t>
      </w:r>
      <w:r w:rsidRPr="00246F54">
        <w:rPr>
          <w:rFonts w:ascii="Times New Roman" w:hAnsi="Times New Roman" w:cs="Times New Roman"/>
          <w:lang w:val="fr-FR" w:eastAsia="ko-KR"/>
        </w:rPr>
        <w:t xml:space="preserve">% sur sept ans. Cela équivaut à un accroissement de la densité globale de médecins locaux dans ces 14 pays, qui est passée de 3,5 médecins pour 10 000 habitants en 2012 à 5,2 médecins pour 10 000 habitants en 2019. Malgré cette hausse, la densité globale de médecins dans ces pays reste bien inférieure aux densités enregistrées en Australie et en Nouvelle-Zélande (plus de 30 médecins pour 10 000 habitants). </w:t>
      </w:r>
    </w:p>
    <w:p w14:paraId="4F7DCDC0" w14:textId="77777777" w:rsidR="00246F54" w:rsidRPr="00246F54" w:rsidRDefault="00246F54" w:rsidP="00246F54">
      <w:pPr>
        <w:pStyle w:val="NoSpacing"/>
        <w:spacing w:line="360" w:lineRule="auto"/>
        <w:jc w:val="both"/>
        <w:rPr>
          <w:rFonts w:ascii="Times New Roman" w:hAnsi="Times New Roman" w:cs="Times New Roman"/>
          <w:lang w:val="fr-FR" w:eastAsia="ko-KR"/>
        </w:rPr>
      </w:pPr>
    </w:p>
    <w:p w14:paraId="284B0FC0" w14:textId="77777777" w:rsidR="005E0B40" w:rsidRPr="00246F54" w:rsidRDefault="00246F54" w:rsidP="00246F54">
      <w:pPr>
        <w:pStyle w:val="NoSpacing"/>
        <w:spacing w:line="360" w:lineRule="auto"/>
        <w:jc w:val="both"/>
        <w:rPr>
          <w:rFonts w:ascii="Times New Roman" w:hAnsi="Times New Roman" w:cs="Times New Roman"/>
          <w:lang w:val="fr-FR" w:eastAsia="ko-KR"/>
        </w:rPr>
      </w:pPr>
      <w:r w:rsidRPr="00246F54">
        <w:rPr>
          <w:rFonts w:ascii="Times New Roman" w:hAnsi="Times New Roman" w:cs="Times New Roman"/>
          <w:lang w:val="fr-FR" w:eastAsia="ko-KR"/>
        </w:rPr>
        <w:t>La figure 3 compare le nombre de médecins locaux employés par le ministère de la Santé dans chaque pays en 2012 et 2019. À l’exception de Niue, de Tokelau et des États fédérés de Micronésie, le nombre de médecins locaux est en hausse dans les onze autres pays. L’augmentation du nombre de médecins locaux dans toute la région peut s’expliquer par les nouvelles filières de formation médicale proposées à Cuba, en Chine et à Taiwan, ainsi que dans les écoles de médecine qui ont ouvert aux Fidji et au Samoa.</w:t>
      </w:r>
    </w:p>
    <w:p w14:paraId="62A7F9C9" w14:textId="77777777" w:rsidR="000434A2" w:rsidRPr="00864253" w:rsidRDefault="000434A2" w:rsidP="004A6D7B">
      <w:pPr>
        <w:pStyle w:val="NoSpacing"/>
        <w:spacing w:line="360" w:lineRule="auto"/>
        <w:jc w:val="both"/>
        <w:rPr>
          <w:rFonts w:ascii="Times New Roman" w:hAnsi="Times New Roman" w:cs="Times New Roman"/>
          <w:lang w:val="fr-FR" w:eastAsia="ko-KR"/>
        </w:rPr>
      </w:pPr>
    </w:p>
    <w:p w14:paraId="61268755" w14:textId="77777777" w:rsidR="00D8483A" w:rsidRPr="00246F54" w:rsidRDefault="00246F54" w:rsidP="00B05F11">
      <w:pPr>
        <w:pStyle w:val="Caption"/>
        <w:jc w:val="center"/>
        <w:rPr>
          <w:b w:val="0"/>
          <w:i/>
          <w:lang w:val="fr-FR" w:eastAsia="ko-KR"/>
        </w:rPr>
      </w:pPr>
      <w:r w:rsidRPr="00246F54">
        <w:rPr>
          <w:b w:val="0"/>
          <w:i/>
          <w:lang w:val="fr-FR"/>
        </w:rPr>
        <w:t>Figure 3 : Nombre de médecins locaux employés par les ministères de la Santé – 2012 et 2019</w:t>
      </w:r>
    </w:p>
    <w:p w14:paraId="1E22B6A0" w14:textId="77777777" w:rsidR="00D8483A" w:rsidRPr="00864253" w:rsidRDefault="00D8483A" w:rsidP="00B05F11">
      <w:pPr>
        <w:pStyle w:val="NoSpacing"/>
        <w:jc w:val="both"/>
        <w:rPr>
          <w:rFonts w:ascii="Times New Roman" w:hAnsi="Times New Roman" w:cs="Times New Roman"/>
          <w:lang w:val="fr-FR" w:eastAsia="ko-KR"/>
        </w:rPr>
      </w:pPr>
    </w:p>
    <w:p w14:paraId="34C4DD6F" w14:textId="77777777" w:rsidR="00CB4C97" w:rsidRDefault="00A2534F" w:rsidP="00B05F11">
      <w:pPr>
        <w:pStyle w:val="NoSpacing"/>
        <w:rPr>
          <w:lang w:eastAsia="ko-KR"/>
        </w:rPr>
      </w:pPr>
      <w:r>
        <w:rPr>
          <w:noProof/>
          <w:lang w:val="en-US" w:eastAsia="en-US"/>
        </w:rPr>
        <w:drawing>
          <wp:inline distT="0" distB="0" distL="0" distR="0" wp14:anchorId="007A29B1" wp14:editId="699E27EA">
            <wp:extent cx="5732145" cy="4010025"/>
            <wp:effectExtent l="0" t="0" r="1905"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F6FC5D6" w14:textId="77777777" w:rsidR="00200CDC" w:rsidRDefault="00200CDC" w:rsidP="00DE4054">
      <w:pPr>
        <w:pStyle w:val="BodyText1"/>
        <w:spacing w:after="0"/>
        <w:ind w:firstLine="0"/>
        <w:jc w:val="left"/>
        <w:rPr>
          <w:rFonts w:asciiTheme="majorBidi" w:eastAsia="Malgun Gothic" w:hAnsiTheme="majorBidi" w:cstheme="majorBidi"/>
          <w:b/>
          <w:bCs/>
          <w:lang w:eastAsia="ko-KR"/>
        </w:rPr>
      </w:pPr>
    </w:p>
    <w:p w14:paraId="7E058CC3" w14:textId="77777777" w:rsidR="00A2534F" w:rsidRPr="00246F54" w:rsidRDefault="00246F54" w:rsidP="00A2534F">
      <w:pPr>
        <w:pStyle w:val="Caption"/>
        <w:jc w:val="center"/>
        <w:rPr>
          <w:b w:val="0"/>
          <w:i/>
          <w:lang w:val="fr-FR"/>
        </w:rPr>
      </w:pPr>
      <w:r w:rsidRPr="00246F54">
        <w:rPr>
          <w:b w:val="0"/>
          <w:i/>
          <w:lang w:val="fr-FR"/>
        </w:rPr>
        <w:t>Figure 4 : Nombre de médecins locaux pour 10 000 habitants</w:t>
      </w:r>
    </w:p>
    <w:p w14:paraId="35F615F1" w14:textId="77777777" w:rsidR="000B076C" w:rsidRPr="00864253" w:rsidRDefault="000B076C" w:rsidP="000B076C">
      <w:pPr>
        <w:rPr>
          <w:lang w:val="fr-FR" w:eastAsia="ja-JP"/>
        </w:rPr>
      </w:pPr>
    </w:p>
    <w:p w14:paraId="3CB49731" w14:textId="77777777" w:rsidR="00945B92" w:rsidRDefault="00A2534F" w:rsidP="00DE4054">
      <w:pPr>
        <w:pStyle w:val="BodyText1"/>
        <w:spacing w:after="0"/>
        <w:ind w:firstLine="0"/>
        <w:jc w:val="left"/>
        <w:rPr>
          <w:rFonts w:asciiTheme="majorBidi" w:eastAsia="Malgun Gothic" w:hAnsiTheme="majorBidi" w:cstheme="majorBidi"/>
          <w:b/>
          <w:bCs/>
          <w:lang w:eastAsia="ko-KR"/>
        </w:rPr>
      </w:pPr>
      <w:r>
        <w:rPr>
          <w:noProof/>
          <w:lang w:val="en-US"/>
        </w:rPr>
        <w:lastRenderedPageBreak/>
        <w:drawing>
          <wp:inline distT="0" distB="0" distL="0" distR="0" wp14:anchorId="736E3A2F" wp14:editId="66BB243E">
            <wp:extent cx="5732145" cy="3069203"/>
            <wp:effectExtent l="0" t="0" r="1905" b="1714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7190811" w14:textId="77777777" w:rsidR="000B076C" w:rsidRDefault="000B076C" w:rsidP="00DE4054">
      <w:pPr>
        <w:pStyle w:val="BodyText1"/>
        <w:spacing w:after="0"/>
        <w:ind w:firstLine="0"/>
        <w:jc w:val="left"/>
        <w:rPr>
          <w:rFonts w:asciiTheme="majorBidi" w:eastAsia="Malgun Gothic" w:hAnsiTheme="majorBidi" w:cstheme="majorBidi"/>
          <w:b/>
          <w:bCs/>
          <w:lang w:eastAsia="ko-KR"/>
        </w:rPr>
      </w:pPr>
    </w:p>
    <w:p w14:paraId="16576924" w14:textId="77777777" w:rsidR="00DE4054" w:rsidRPr="006B7275" w:rsidRDefault="006B7275" w:rsidP="00D04A29">
      <w:pPr>
        <w:pStyle w:val="BodyText1"/>
        <w:numPr>
          <w:ilvl w:val="1"/>
          <w:numId w:val="43"/>
        </w:numPr>
        <w:tabs>
          <w:tab w:val="left" w:pos="567"/>
        </w:tabs>
        <w:spacing w:after="0"/>
        <w:jc w:val="left"/>
        <w:rPr>
          <w:rFonts w:asciiTheme="majorBidi" w:eastAsia="Malgun Gothic" w:hAnsiTheme="majorBidi" w:cstheme="majorBidi"/>
          <w:b/>
          <w:bCs/>
          <w:lang w:val="fr-FR" w:eastAsia="ko-KR"/>
        </w:rPr>
      </w:pPr>
      <w:r w:rsidRPr="006B7275">
        <w:rPr>
          <w:b/>
          <w:lang w:val="fr-FR"/>
        </w:rPr>
        <w:t>Médecins océaniens menant des activités cliniques</w:t>
      </w:r>
    </w:p>
    <w:p w14:paraId="32695263" w14:textId="77777777" w:rsidR="00D04A29" w:rsidRPr="00864253" w:rsidRDefault="00D04A29" w:rsidP="00D04A29">
      <w:pPr>
        <w:pStyle w:val="BodyText1"/>
        <w:tabs>
          <w:tab w:val="left" w:pos="567"/>
        </w:tabs>
        <w:spacing w:after="0"/>
        <w:ind w:firstLine="0"/>
        <w:jc w:val="left"/>
        <w:rPr>
          <w:rFonts w:asciiTheme="majorBidi" w:eastAsia="Malgun Gothic" w:hAnsiTheme="majorBidi" w:cstheme="majorBidi"/>
          <w:b/>
          <w:bCs/>
          <w:lang w:val="fr-FR" w:eastAsia="ko-KR"/>
        </w:rPr>
      </w:pPr>
    </w:p>
    <w:p w14:paraId="0D8A5E4F" w14:textId="77777777" w:rsidR="00291038" w:rsidRPr="006B7275" w:rsidRDefault="00FA0CB9" w:rsidP="004A6D7B">
      <w:pPr>
        <w:spacing w:after="0" w:line="360" w:lineRule="auto"/>
        <w:rPr>
          <w:rFonts w:ascii="Times New Roman" w:eastAsia="Malgun Gothic" w:hAnsi="Times New Roman" w:cs="Times New Roman"/>
          <w:bCs/>
          <w:i/>
          <w:lang w:val="fr-FR" w:eastAsia="ko-KR"/>
        </w:rPr>
      </w:pPr>
      <w:r w:rsidRPr="006B7275">
        <w:rPr>
          <w:rFonts w:ascii="Times New Roman" w:eastAsia="Malgun Gothic" w:hAnsi="Times New Roman" w:cs="Times New Roman"/>
          <w:bCs/>
          <w:i/>
          <w:lang w:val="fr-FR" w:eastAsia="ko-KR"/>
        </w:rPr>
        <w:t>2.</w:t>
      </w:r>
      <w:r w:rsidR="002109B9" w:rsidRPr="006B7275">
        <w:rPr>
          <w:rFonts w:ascii="Times New Roman" w:eastAsia="Malgun Gothic" w:hAnsi="Times New Roman" w:cs="Times New Roman"/>
          <w:bCs/>
          <w:i/>
          <w:lang w:val="fr-FR" w:eastAsia="ko-KR"/>
        </w:rPr>
        <w:t>3</w:t>
      </w:r>
      <w:r w:rsidRPr="006B7275">
        <w:rPr>
          <w:rFonts w:ascii="Times New Roman" w:eastAsia="Malgun Gothic" w:hAnsi="Times New Roman" w:cs="Times New Roman"/>
          <w:bCs/>
          <w:i/>
          <w:lang w:val="fr-FR" w:eastAsia="ko-KR"/>
        </w:rPr>
        <w:t>.</w:t>
      </w:r>
      <w:r w:rsidR="00200CDC" w:rsidRPr="006B7275">
        <w:rPr>
          <w:rFonts w:ascii="Times New Roman" w:eastAsia="Malgun Gothic" w:hAnsi="Times New Roman" w:cs="Times New Roman"/>
          <w:bCs/>
          <w:i/>
          <w:lang w:val="fr-FR" w:eastAsia="ko-KR"/>
        </w:rPr>
        <w:t>1</w:t>
      </w:r>
      <w:r w:rsidR="00553C39" w:rsidRPr="006B7275">
        <w:rPr>
          <w:rFonts w:ascii="Times New Roman" w:eastAsia="Malgun Gothic" w:hAnsi="Times New Roman" w:cs="Times New Roman"/>
          <w:bCs/>
          <w:i/>
          <w:lang w:val="fr-FR" w:eastAsia="ko-KR"/>
        </w:rPr>
        <w:tab/>
      </w:r>
      <w:r w:rsidR="006B7275" w:rsidRPr="006B7275">
        <w:rPr>
          <w:rFonts w:ascii="Times New Roman" w:hAnsi="Times New Roman" w:cs="Times New Roman"/>
          <w:i/>
          <w:lang w:val="fr-FR"/>
        </w:rPr>
        <w:t>Augmentation du nombre de médecins spécialistes océaniens (locaux) dans la région</w:t>
      </w:r>
    </w:p>
    <w:p w14:paraId="1050B4F9" w14:textId="77777777" w:rsidR="00B05F11" w:rsidRPr="00864253" w:rsidRDefault="00B05F11" w:rsidP="004A6D7B">
      <w:pPr>
        <w:pStyle w:val="NoSpacing"/>
        <w:spacing w:line="360" w:lineRule="auto"/>
        <w:jc w:val="both"/>
        <w:rPr>
          <w:rFonts w:ascii="Times New Roman" w:hAnsi="Times New Roman" w:cs="Times New Roman"/>
          <w:lang w:val="fr-FR" w:eastAsia="ko-KR"/>
        </w:rPr>
      </w:pPr>
    </w:p>
    <w:p w14:paraId="033B77BF" w14:textId="67EB06F1" w:rsidR="00A500D0" w:rsidRPr="006B7275" w:rsidRDefault="006B7275" w:rsidP="004A6D7B">
      <w:pPr>
        <w:pStyle w:val="NoSpacing"/>
        <w:spacing w:line="360" w:lineRule="auto"/>
        <w:jc w:val="both"/>
        <w:rPr>
          <w:rFonts w:ascii="Times New Roman" w:hAnsi="Times New Roman" w:cs="Times New Roman"/>
          <w:lang w:val="fr-FR" w:eastAsia="ko-KR"/>
        </w:rPr>
      </w:pPr>
      <w:r w:rsidRPr="006B7275">
        <w:rPr>
          <w:rFonts w:ascii="Times New Roman" w:hAnsi="Times New Roman" w:cs="Times New Roman"/>
          <w:lang w:val="fr-FR" w:eastAsia="ko-KR"/>
        </w:rPr>
        <w:t xml:space="preserve">Le nombre total de cliniciens océaniens titulaires </w:t>
      </w:r>
      <w:r w:rsidR="00641206">
        <w:rPr>
          <w:rFonts w:ascii="Times New Roman" w:hAnsi="Times New Roman" w:cs="Times New Roman"/>
          <w:lang w:val="fr-FR" w:eastAsia="ko-KR"/>
        </w:rPr>
        <w:t xml:space="preserve">au minimum </w:t>
      </w:r>
      <w:r w:rsidRPr="006B7275">
        <w:rPr>
          <w:rFonts w:ascii="Times New Roman" w:hAnsi="Times New Roman" w:cs="Times New Roman"/>
          <w:lang w:val="fr-FR" w:eastAsia="ko-KR"/>
        </w:rPr>
        <w:t>d’un diplôme clinique d’études supérieures</w:t>
      </w:r>
      <w:r w:rsidR="00082493">
        <w:rPr>
          <w:rStyle w:val="FootnoteReference"/>
          <w:rFonts w:ascii="Times New Roman" w:hAnsi="Times New Roman" w:cs="Times New Roman"/>
          <w:lang w:val="fr-FR" w:eastAsia="ko-KR"/>
        </w:rPr>
        <w:footnoteReference w:id="1"/>
      </w:r>
      <w:r w:rsidRPr="006B7275">
        <w:rPr>
          <w:rFonts w:ascii="Times New Roman" w:hAnsi="Times New Roman" w:cs="Times New Roman"/>
          <w:lang w:val="fr-FR" w:eastAsia="ko-KR"/>
        </w:rPr>
        <w:t xml:space="preserve"> est passé de 239 en 2012 à 387 en 2019. Comme le montre la figure 5, le nombre de médecins locaux titulaires d’un master dans différents domaines cliniques a plus que doublé, passant de 81 en 2012 à 198 en 2019.</w:t>
      </w:r>
    </w:p>
    <w:p w14:paraId="1B6D9236" w14:textId="77777777" w:rsidR="00A500D0" w:rsidRPr="00864253" w:rsidRDefault="00A500D0" w:rsidP="004A6D7B">
      <w:pPr>
        <w:pStyle w:val="NoSpacing"/>
        <w:spacing w:line="360" w:lineRule="auto"/>
        <w:jc w:val="both"/>
        <w:rPr>
          <w:rFonts w:ascii="Times New Roman" w:hAnsi="Times New Roman" w:cs="Times New Roman"/>
          <w:lang w:val="fr-FR" w:eastAsia="ko-KR"/>
        </w:rPr>
      </w:pPr>
    </w:p>
    <w:p w14:paraId="558EE175" w14:textId="77777777" w:rsidR="00A500D0" w:rsidRPr="006B7275" w:rsidRDefault="006B7275" w:rsidP="006B7275">
      <w:pPr>
        <w:pStyle w:val="Caption"/>
        <w:jc w:val="center"/>
        <w:rPr>
          <w:b w:val="0"/>
          <w:i/>
          <w:lang w:val="fr-FR"/>
        </w:rPr>
      </w:pPr>
      <w:r w:rsidRPr="006B7275">
        <w:rPr>
          <w:b w:val="0"/>
          <w:i/>
          <w:lang w:val="fr-FR"/>
        </w:rPr>
        <w:t>Figure 5 : Diplômes cliniques de plus haut niveau dont sont titulaires les médecins locaux (2012 et 2019)</w:t>
      </w:r>
    </w:p>
    <w:p w14:paraId="656C2D0E" w14:textId="77777777" w:rsidR="00A500D0" w:rsidRPr="00864253" w:rsidRDefault="00A500D0" w:rsidP="00A500D0">
      <w:pPr>
        <w:pStyle w:val="NoSpacing"/>
        <w:spacing w:line="360" w:lineRule="auto"/>
        <w:jc w:val="center"/>
        <w:rPr>
          <w:rFonts w:ascii="Times New Roman" w:hAnsi="Times New Roman" w:cs="Times New Roman"/>
          <w:lang w:val="fr-FR" w:eastAsia="ko-KR"/>
        </w:rPr>
      </w:pPr>
    </w:p>
    <w:p w14:paraId="02094CFA" w14:textId="77777777" w:rsidR="00A500D0" w:rsidRDefault="00A500D0" w:rsidP="004A6D7B">
      <w:pPr>
        <w:pStyle w:val="NoSpacing"/>
        <w:spacing w:line="360" w:lineRule="auto"/>
        <w:jc w:val="both"/>
        <w:rPr>
          <w:rFonts w:ascii="Times New Roman" w:hAnsi="Times New Roman" w:cs="Times New Roman"/>
          <w:lang w:eastAsia="ko-KR"/>
        </w:rPr>
      </w:pPr>
      <w:r>
        <w:rPr>
          <w:noProof/>
          <w:lang w:val="en-US" w:eastAsia="en-US"/>
        </w:rPr>
        <w:drawing>
          <wp:inline distT="0" distB="0" distL="0" distR="0" wp14:anchorId="346A5270" wp14:editId="310272F5">
            <wp:extent cx="5610225" cy="1428750"/>
            <wp:effectExtent l="0" t="0" r="9525"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9DAD2F6" w14:textId="77777777" w:rsidR="000B076C" w:rsidRDefault="000B076C" w:rsidP="004A6D7B">
      <w:pPr>
        <w:pStyle w:val="NoSpacing"/>
        <w:spacing w:line="360" w:lineRule="auto"/>
        <w:jc w:val="both"/>
        <w:rPr>
          <w:rFonts w:ascii="Times New Roman" w:hAnsi="Times New Roman" w:cs="Times New Roman"/>
          <w:lang w:eastAsia="ko-KR"/>
        </w:rPr>
      </w:pPr>
    </w:p>
    <w:p w14:paraId="1ADBED6E" w14:textId="77777777" w:rsidR="00291038" w:rsidRPr="006B7275" w:rsidRDefault="006B7275" w:rsidP="004A6D7B">
      <w:pPr>
        <w:pStyle w:val="NoSpacing"/>
        <w:spacing w:line="360" w:lineRule="auto"/>
        <w:jc w:val="both"/>
        <w:rPr>
          <w:rFonts w:ascii="Times New Roman" w:hAnsi="Times New Roman" w:cs="Times New Roman"/>
          <w:lang w:val="fr-FR" w:eastAsia="ko-KR"/>
        </w:rPr>
      </w:pPr>
      <w:r w:rsidRPr="006B7275">
        <w:rPr>
          <w:rFonts w:ascii="Times New Roman" w:hAnsi="Times New Roman" w:cs="Times New Roman"/>
          <w:lang w:val="fr-FR" w:eastAsia="ko-KR"/>
        </w:rPr>
        <w:t xml:space="preserve">La figure 6 ci-dessous montre que les spécialités dans lesquelles il y a le plus de médecins locaux titulaires de diplômes d’études cliniques supérieures sont la gynécologie-obstétrique et la chirurgie </w:t>
      </w:r>
      <w:r w:rsidRPr="006B7275">
        <w:rPr>
          <w:rFonts w:ascii="Times New Roman" w:hAnsi="Times New Roman" w:cs="Times New Roman"/>
          <w:lang w:val="fr-FR" w:eastAsia="ko-KR"/>
        </w:rPr>
        <w:lastRenderedPageBreak/>
        <w:t>générale. En plus des programmes de l’UPNG, l’Université nationale des Fidji et l’Université nationale du Samoa proposent de nouveaux programmes d’études cliniques supérieures, ce qui a permis de former davantage de cliniciens océaniens maintenant titulaires d’un diplôme d’études cliniques supérieures.</w:t>
      </w:r>
      <w:r w:rsidR="00FA0CB9" w:rsidRPr="006B7275">
        <w:rPr>
          <w:rFonts w:ascii="Times New Roman" w:hAnsi="Times New Roman" w:cs="Times New Roman"/>
          <w:lang w:val="fr-FR" w:eastAsia="ko-KR"/>
        </w:rPr>
        <w:t xml:space="preserve"> </w:t>
      </w:r>
    </w:p>
    <w:p w14:paraId="02305913" w14:textId="77777777" w:rsidR="007A64B5" w:rsidRPr="006B7275" w:rsidRDefault="007A64B5" w:rsidP="004A6D7B">
      <w:pPr>
        <w:pStyle w:val="NoSpacing"/>
        <w:spacing w:line="360" w:lineRule="auto"/>
        <w:jc w:val="both"/>
        <w:rPr>
          <w:rFonts w:ascii="Times New Roman" w:hAnsi="Times New Roman" w:cs="Times New Roman"/>
          <w:lang w:val="fr-FR" w:eastAsia="ko-KR"/>
        </w:rPr>
      </w:pPr>
    </w:p>
    <w:p w14:paraId="13D5E5A7" w14:textId="77777777" w:rsidR="007A64B5" w:rsidRPr="006B7275" w:rsidRDefault="006B7275" w:rsidP="007A64B5">
      <w:pPr>
        <w:pStyle w:val="Caption"/>
        <w:jc w:val="center"/>
        <w:rPr>
          <w:b w:val="0"/>
          <w:i/>
          <w:sz w:val="22"/>
          <w:szCs w:val="22"/>
          <w:lang w:val="fr-FR" w:eastAsia="ko-KR"/>
        </w:rPr>
      </w:pPr>
      <w:r w:rsidRPr="006B7275">
        <w:rPr>
          <w:b w:val="0"/>
          <w:i/>
          <w:lang w:val="fr-FR"/>
        </w:rPr>
        <w:t>Figure 6 : Nombre de médecins locaux titulaires de diplômes d’études cliniques supérieures dans chaque domaine (2019)</w:t>
      </w:r>
    </w:p>
    <w:p w14:paraId="0FD7F08B" w14:textId="77777777" w:rsidR="007A64B5" w:rsidRPr="00864253" w:rsidRDefault="007A64B5" w:rsidP="004A6D7B">
      <w:pPr>
        <w:pStyle w:val="NoSpacing"/>
        <w:spacing w:line="360" w:lineRule="auto"/>
        <w:jc w:val="both"/>
        <w:rPr>
          <w:rFonts w:ascii="Times New Roman" w:hAnsi="Times New Roman" w:cs="Times New Roman"/>
          <w:lang w:val="fr-FR" w:eastAsia="ko-KR"/>
        </w:rPr>
      </w:pPr>
    </w:p>
    <w:p w14:paraId="6A33C9CD" w14:textId="77777777" w:rsidR="00A500D0" w:rsidRDefault="00AE2073" w:rsidP="004A6D7B">
      <w:pPr>
        <w:pStyle w:val="NoSpacing"/>
        <w:spacing w:line="360" w:lineRule="auto"/>
        <w:jc w:val="both"/>
        <w:rPr>
          <w:rFonts w:ascii="Times New Roman" w:hAnsi="Times New Roman" w:cs="Times New Roman"/>
          <w:lang w:eastAsia="ko-KR"/>
        </w:rPr>
      </w:pPr>
      <w:r>
        <w:rPr>
          <w:noProof/>
          <w:lang w:val="en-US" w:eastAsia="en-US"/>
        </w:rPr>
        <w:drawing>
          <wp:inline distT="0" distB="0" distL="0" distR="0" wp14:anchorId="2EF268D8" wp14:editId="7D9BA9B0">
            <wp:extent cx="5715000" cy="24003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FD1BE59" w14:textId="77777777" w:rsidR="006641E9" w:rsidRPr="000B5A59" w:rsidRDefault="006641E9" w:rsidP="000434A2">
      <w:pPr>
        <w:pStyle w:val="NoSpacing"/>
        <w:spacing w:line="360" w:lineRule="auto"/>
        <w:jc w:val="both"/>
        <w:rPr>
          <w:rFonts w:ascii="Times New Roman" w:hAnsi="Times New Roman" w:cs="Times New Roman"/>
          <w:lang w:val="fr-FR" w:eastAsia="ko-KR"/>
        </w:rPr>
      </w:pPr>
    </w:p>
    <w:p w14:paraId="0C80465C" w14:textId="77777777" w:rsidR="000434A2" w:rsidRPr="000B5A59" w:rsidRDefault="000B5A59" w:rsidP="000434A2">
      <w:pPr>
        <w:pStyle w:val="NoSpacing"/>
        <w:spacing w:line="360" w:lineRule="auto"/>
        <w:jc w:val="both"/>
        <w:rPr>
          <w:rFonts w:ascii="Times New Roman" w:hAnsi="Times New Roman" w:cs="Times New Roman"/>
          <w:lang w:val="fr-FR" w:eastAsia="ko-KR"/>
        </w:rPr>
      </w:pPr>
      <w:r w:rsidRPr="000B5A59">
        <w:rPr>
          <w:rFonts w:ascii="Times New Roman" w:hAnsi="Times New Roman" w:cs="Times New Roman"/>
          <w:lang w:val="fr-FR" w:eastAsia="ko-KR"/>
        </w:rPr>
        <w:t>Alors que de nouveaux programmes de formation sont proposés dans des sous-spécialités cliniques par l’Université nationale des Fidji, le nombre de médecins locaux titulaires de diplômes en médecine d’urgence, en radiologie et en pathologie a augmenté. L’amélioration du savoir-faire local en radiologie et en pathologie améliorera la qualité des services cliniques de la région en renforçant la capacité de diagnostic clinique des pays. Dans le même temps, la présence dans ces pays de médecins locaux diplômés en médecine d’urgence s’ajoutera à ces capacités améliorées et permettra d’assurer des soins intensifs et une meilleure intervention en cas d’urgence médicale, en particulier dans un contexte où les catastrophes naturelles sont plus fréquentes et plus graves.</w:t>
      </w:r>
      <w:r w:rsidR="000434A2" w:rsidRPr="000B5A59">
        <w:rPr>
          <w:rFonts w:ascii="Times New Roman" w:hAnsi="Times New Roman" w:cs="Times New Roman"/>
          <w:lang w:val="fr-FR" w:eastAsia="ko-KR"/>
        </w:rPr>
        <w:t xml:space="preserve">  </w:t>
      </w:r>
    </w:p>
    <w:p w14:paraId="3017EBB9" w14:textId="77777777" w:rsidR="000434A2" w:rsidRPr="000B5A59" w:rsidRDefault="000434A2" w:rsidP="000434A2">
      <w:pPr>
        <w:pStyle w:val="NoSpacing"/>
        <w:spacing w:line="360" w:lineRule="auto"/>
        <w:rPr>
          <w:rFonts w:ascii="Times New Roman" w:hAnsi="Times New Roman" w:cs="Times New Roman"/>
          <w:i/>
          <w:u w:val="single"/>
          <w:lang w:val="fr-FR" w:eastAsia="ko-KR"/>
        </w:rPr>
      </w:pPr>
    </w:p>
    <w:p w14:paraId="20BAE9CE" w14:textId="77777777" w:rsidR="00200CDC" w:rsidRPr="000B5A59" w:rsidRDefault="00200CDC" w:rsidP="000B5A59">
      <w:pPr>
        <w:pStyle w:val="NoSpacing"/>
        <w:spacing w:line="360" w:lineRule="auto"/>
        <w:ind w:left="720" w:hanging="720"/>
        <w:jc w:val="both"/>
        <w:rPr>
          <w:rFonts w:ascii="Times New Roman" w:hAnsi="Times New Roman" w:cs="Times New Roman"/>
          <w:i/>
          <w:lang w:val="fr-FR" w:eastAsia="ko-KR"/>
        </w:rPr>
      </w:pPr>
      <w:r w:rsidRPr="000B5A59">
        <w:rPr>
          <w:rFonts w:ascii="Times New Roman" w:hAnsi="Times New Roman" w:cs="Times New Roman"/>
          <w:i/>
          <w:lang w:val="fr-FR" w:eastAsia="ko-KR"/>
        </w:rPr>
        <w:t>2.</w:t>
      </w:r>
      <w:r w:rsidR="002109B9" w:rsidRPr="000B5A59">
        <w:rPr>
          <w:rFonts w:ascii="Times New Roman" w:hAnsi="Times New Roman" w:cs="Times New Roman"/>
          <w:i/>
          <w:lang w:val="fr-FR" w:eastAsia="ko-KR"/>
        </w:rPr>
        <w:t>3</w:t>
      </w:r>
      <w:r w:rsidRPr="000B5A59">
        <w:rPr>
          <w:rFonts w:ascii="Times New Roman" w:hAnsi="Times New Roman" w:cs="Times New Roman"/>
          <w:i/>
          <w:lang w:val="fr-FR" w:eastAsia="ko-KR"/>
        </w:rPr>
        <w:t>.2</w:t>
      </w:r>
      <w:r w:rsidR="006641E9" w:rsidRPr="000B5A59">
        <w:rPr>
          <w:rFonts w:ascii="Times New Roman" w:hAnsi="Times New Roman" w:cs="Times New Roman"/>
          <w:i/>
          <w:lang w:val="fr-FR" w:eastAsia="ko-KR"/>
        </w:rPr>
        <w:tab/>
      </w:r>
      <w:r w:rsidR="000B5A59" w:rsidRPr="000B5A59">
        <w:rPr>
          <w:rFonts w:ascii="Times New Roman" w:hAnsi="Times New Roman" w:cs="Times New Roman"/>
          <w:i/>
          <w:lang w:val="fr-FR"/>
        </w:rPr>
        <w:t>Densité insuffisante de personnels chirurgicaux spécialisés dans la plupart des États insulaires océaniens</w:t>
      </w:r>
    </w:p>
    <w:p w14:paraId="3DA85642" w14:textId="77777777" w:rsidR="008C60F9" w:rsidRPr="00D0112D" w:rsidRDefault="000B5A59" w:rsidP="00200CDC">
      <w:pPr>
        <w:pStyle w:val="NoSpacing"/>
        <w:spacing w:line="360" w:lineRule="auto"/>
        <w:jc w:val="both"/>
        <w:rPr>
          <w:rFonts w:ascii="Times New Roman" w:hAnsi="Times New Roman" w:cs="Times New Roman"/>
          <w:color w:val="000000"/>
          <w:lang w:val="fr-FR"/>
        </w:rPr>
      </w:pPr>
      <w:r w:rsidRPr="000B5A59">
        <w:rPr>
          <w:rStyle w:val="fontstyle01"/>
          <w:rFonts w:ascii="Times New Roman" w:hAnsi="Times New Roman" w:cs="Times New Roman"/>
          <w:sz w:val="22"/>
          <w:szCs w:val="22"/>
          <w:lang w:val="fr-FR"/>
        </w:rPr>
        <w:t xml:space="preserve">Le rapport de la Commission du Lancet sur la chirurgie dans le monde a souligné que les pays dans lesquels les chirurgiens, anesthésistes et obstétriciens spécialisés sont moins de 20 pour 100 000 habitants présentent les plus mauvais résultats dans le domaine de la santé. En 2015, les États membres de l’OMS ont adopté une résolution visant à développer les soins chirurgicaux d’urgence, les soins chirurgicaux essentiels et l’anesthésie en tant que composantes de la couverture sanitaire universelle et ont convenu de fixer une cible à 20 chirurgiens, anesthésistes et obstétriciens pour 100 </w:t>
      </w:r>
      <w:r w:rsidRPr="000B5A59">
        <w:rPr>
          <w:rStyle w:val="fontstyle01"/>
          <w:rFonts w:ascii="Times New Roman" w:hAnsi="Times New Roman" w:cs="Times New Roman"/>
          <w:sz w:val="22"/>
          <w:szCs w:val="22"/>
          <w:lang w:val="fr-FR"/>
        </w:rPr>
        <w:lastRenderedPageBreak/>
        <w:t>000 habitants. Sur les 14 États insulaires océaniens ayant fait l’objet de l’enquête, seules les Îles Cook présentaient une densité de chirurgiens, anesthésistes et obstétriciens supérieure à 20 pour 100 000 habitants. Même si les pays plus petits comme Tokelau et Niue ont des densités de professionnels supérieures à 20, la répartition des chirurgiens, anesthésistes et obstétriciens n’est pas satisfaisante : Niue ne compte qu’un seul anesthésiste local qualifié, alors que Tokelau ne compte qu’un seul obstétricien local qualifié. En additionnant les chirurgiens, anesthésistes et obstétriciens expatriés, les États fédérés de Micronésie, la République des Îles Marshall, les Îles Cook, Nauru et Tokelau parviennent à améliorer sensiblement leurs densités de professionnels, mais les Îles Cook restent le seul pays à atteindre la cible fixée à 20 chirurgiens, anesthésistes et obstétriciens pour 100 000 habitants.</w:t>
      </w:r>
    </w:p>
    <w:p w14:paraId="7E01F452" w14:textId="77777777" w:rsidR="000B5A59" w:rsidRPr="00D0112D" w:rsidRDefault="000B5A59" w:rsidP="000B5A59">
      <w:pPr>
        <w:pStyle w:val="Caption"/>
        <w:rPr>
          <w:b w:val="0"/>
          <w:i/>
          <w:lang w:val="fr-FR"/>
        </w:rPr>
      </w:pPr>
    </w:p>
    <w:p w14:paraId="2C06DF88" w14:textId="77777777" w:rsidR="00200CDC" w:rsidRPr="000B5A59" w:rsidRDefault="000B5A59" w:rsidP="00200CDC">
      <w:pPr>
        <w:pStyle w:val="Caption"/>
        <w:jc w:val="center"/>
        <w:rPr>
          <w:b w:val="0"/>
          <w:i/>
          <w:color w:val="000000"/>
          <w:sz w:val="22"/>
          <w:szCs w:val="22"/>
          <w:lang w:val="fr-FR"/>
        </w:rPr>
      </w:pPr>
      <w:r w:rsidRPr="000B5A59">
        <w:rPr>
          <w:b w:val="0"/>
          <w:i/>
          <w:lang w:val="fr-FR"/>
        </w:rPr>
        <w:t>Figure 7 : Densités de chirurgiens, anesthésistes et obstétriciens pour 100 000 habitants (densité de professionnels locaux et densité totale)</w:t>
      </w:r>
    </w:p>
    <w:p w14:paraId="1EBA340F" w14:textId="77777777" w:rsidR="00200CDC" w:rsidRPr="000B5A59" w:rsidRDefault="00200CDC" w:rsidP="00200CDC">
      <w:pPr>
        <w:pStyle w:val="NoSpacing"/>
        <w:jc w:val="both"/>
        <w:rPr>
          <w:rFonts w:ascii="Times New Roman" w:hAnsi="Times New Roman" w:cs="Times New Roman"/>
          <w:color w:val="000000"/>
          <w:lang w:val="fr-FR"/>
        </w:rPr>
      </w:pPr>
    </w:p>
    <w:p w14:paraId="686BDA25" w14:textId="77777777" w:rsidR="00200CDC" w:rsidRDefault="008B4118" w:rsidP="00200CDC">
      <w:pPr>
        <w:pStyle w:val="NoSpacing"/>
        <w:jc w:val="both"/>
        <w:rPr>
          <w:lang w:eastAsia="ko-KR"/>
        </w:rPr>
      </w:pPr>
      <w:r>
        <w:rPr>
          <w:noProof/>
          <w:lang w:val="en-US" w:eastAsia="en-US"/>
        </w:rPr>
        <mc:AlternateContent>
          <mc:Choice Requires="wps">
            <w:drawing>
              <wp:anchor distT="0" distB="0" distL="114300" distR="114300" simplePos="0" relativeHeight="251656192" behindDoc="0" locked="0" layoutInCell="1" allowOverlap="1" wp14:anchorId="1C8161E8" wp14:editId="2A95CC70">
                <wp:simplePos x="0" y="0"/>
                <wp:positionH relativeFrom="margin">
                  <wp:posOffset>316230</wp:posOffset>
                </wp:positionH>
                <wp:positionV relativeFrom="paragraph">
                  <wp:posOffset>1680845</wp:posOffset>
                </wp:positionV>
                <wp:extent cx="5354726" cy="0"/>
                <wp:effectExtent l="0" t="0" r="17780" b="19050"/>
                <wp:wrapNone/>
                <wp:docPr id="19" name="Straight Connector 19"/>
                <wp:cNvGraphicFramePr/>
                <a:graphic xmlns:a="http://schemas.openxmlformats.org/drawingml/2006/main">
                  <a:graphicData uri="http://schemas.microsoft.com/office/word/2010/wordprocessingShape">
                    <wps:wsp>
                      <wps:cNvCnPr/>
                      <wps:spPr>
                        <a:xfrm flipV="1">
                          <a:off x="0" y="0"/>
                          <a:ext cx="5354726" cy="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A2DE025" id="Straight Connector 19" o:spid="_x0000_s1026" style="position:absolute;flip:y;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9pt,132.35pt" to="446.55pt,1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" strokecolor="#c0504d [3205]">
                <v:stroke dashstyle="dash"/>
                <w10:wrap anchorx="margin"/>
              </v:line>
            </w:pict>
          </mc:Fallback>
        </mc:AlternateContent>
      </w:r>
      <w:r w:rsidR="00CD5810" w:rsidRPr="000B076C">
        <w:rPr>
          <w:noProof/>
          <w:shd w:val="clear" w:color="auto" w:fill="92D050"/>
          <w:lang w:val="en-US" w:eastAsia="en-US"/>
        </w:rPr>
        <w:drawing>
          <wp:inline distT="0" distB="0" distL="0" distR="0" wp14:anchorId="4FD09F48" wp14:editId="117B68A6">
            <wp:extent cx="6217920" cy="3131820"/>
            <wp:effectExtent l="0" t="0" r="11430" b="1143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C9CAE36" w14:textId="77777777" w:rsidR="008D20D4" w:rsidRDefault="008D20D4" w:rsidP="00B00C19">
      <w:pPr>
        <w:spacing w:after="0" w:line="240" w:lineRule="auto"/>
        <w:rPr>
          <w:rFonts w:asciiTheme="majorBidi" w:eastAsia="Malgun Gothic" w:hAnsiTheme="majorBidi" w:cstheme="majorBidi"/>
          <w:bCs/>
          <w:i/>
          <w:u w:val="single"/>
          <w:lang w:eastAsia="ko-KR"/>
        </w:rPr>
      </w:pPr>
    </w:p>
    <w:p w14:paraId="71D40F40" w14:textId="77777777" w:rsidR="00200CDC" w:rsidRPr="000B5A59" w:rsidRDefault="00200CDC" w:rsidP="00B00C19">
      <w:pPr>
        <w:spacing w:after="0" w:line="240" w:lineRule="auto"/>
        <w:rPr>
          <w:rFonts w:asciiTheme="majorBidi" w:eastAsia="Malgun Gothic" w:hAnsiTheme="majorBidi" w:cstheme="majorBidi"/>
          <w:bCs/>
          <w:i/>
          <w:lang w:val="fr-FR" w:eastAsia="ko-KR"/>
        </w:rPr>
      </w:pPr>
      <w:r w:rsidRPr="000B5A59">
        <w:rPr>
          <w:rFonts w:asciiTheme="majorBidi" w:eastAsia="Malgun Gothic" w:hAnsiTheme="majorBidi" w:cstheme="majorBidi"/>
          <w:bCs/>
          <w:i/>
          <w:lang w:val="fr-FR" w:eastAsia="ko-KR"/>
        </w:rPr>
        <w:t>2.</w:t>
      </w:r>
      <w:r w:rsidR="007C752D" w:rsidRPr="000B5A59">
        <w:rPr>
          <w:rFonts w:asciiTheme="majorBidi" w:eastAsia="Malgun Gothic" w:hAnsiTheme="majorBidi" w:cstheme="majorBidi"/>
          <w:bCs/>
          <w:i/>
          <w:lang w:val="fr-FR" w:eastAsia="ko-KR"/>
        </w:rPr>
        <w:t>3</w:t>
      </w:r>
      <w:r w:rsidRPr="000B5A59">
        <w:rPr>
          <w:rFonts w:asciiTheme="majorBidi" w:eastAsia="Malgun Gothic" w:hAnsiTheme="majorBidi" w:cstheme="majorBidi"/>
          <w:bCs/>
          <w:i/>
          <w:lang w:val="fr-FR" w:eastAsia="ko-KR"/>
        </w:rPr>
        <w:t>.3</w:t>
      </w:r>
      <w:r w:rsidR="006641E9" w:rsidRPr="000B5A59">
        <w:rPr>
          <w:rFonts w:asciiTheme="majorBidi" w:eastAsia="Malgun Gothic" w:hAnsiTheme="majorBidi" w:cstheme="majorBidi"/>
          <w:bCs/>
          <w:i/>
          <w:lang w:val="fr-FR" w:eastAsia="ko-KR"/>
        </w:rPr>
        <w:tab/>
      </w:r>
      <w:r w:rsidR="000B5A59" w:rsidRPr="000B5A59">
        <w:rPr>
          <w:rFonts w:asciiTheme="majorBidi" w:eastAsia="Malgun Gothic" w:hAnsiTheme="majorBidi" w:cstheme="majorBidi"/>
          <w:bCs/>
          <w:i/>
          <w:lang w:val="fr-FR" w:eastAsia="ko-KR"/>
        </w:rPr>
        <w:t>Davantage de femmes médecins dans le Pacifique</w:t>
      </w:r>
    </w:p>
    <w:p w14:paraId="6F5A0EF2" w14:textId="77777777" w:rsidR="00200CDC" w:rsidRPr="000B5A59" w:rsidRDefault="00200CDC" w:rsidP="00200CDC">
      <w:pPr>
        <w:spacing w:after="0" w:line="360" w:lineRule="auto"/>
        <w:jc w:val="both"/>
        <w:rPr>
          <w:rFonts w:asciiTheme="majorBidi" w:eastAsia="Malgun Gothic" w:hAnsiTheme="majorBidi" w:cstheme="majorBidi"/>
          <w:bCs/>
          <w:lang w:val="fr-FR" w:eastAsia="ko-KR"/>
        </w:rPr>
      </w:pPr>
    </w:p>
    <w:p w14:paraId="6CFC4E20" w14:textId="3EAD285D" w:rsidR="00BE54A0" w:rsidRPr="000B5A59" w:rsidRDefault="000B5A59" w:rsidP="00200CDC">
      <w:pPr>
        <w:spacing w:after="0" w:line="360" w:lineRule="auto"/>
        <w:jc w:val="both"/>
        <w:rPr>
          <w:rFonts w:asciiTheme="majorBidi" w:eastAsia="Malgun Gothic" w:hAnsiTheme="majorBidi" w:cstheme="majorBidi"/>
          <w:bCs/>
          <w:lang w:val="fr-FR" w:eastAsia="ko-KR"/>
        </w:rPr>
      </w:pPr>
      <w:r w:rsidRPr="000B5A59">
        <w:rPr>
          <w:rFonts w:asciiTheme="majorBidi" w:eastAsia="Malgun Gothic" w:hAnsiTheme="majorBidi" w:cstheme="majorBidi"/>
          <w:bCs/>
          <w:lang w:val="fr-FR" w:eastAsia="ko-KR"/>
        </w:rPr>
        <w:t>Ces dernières années, davantage de femmes que d’hommes commencent à exercer une profession médicale ; ainsi, en 2019, presque la moitié des médecins locaux dans le Pacifique sont des femmes. La part de médecins locaux de sexe féminin dans les 14 États insulaires océaniens ayant fait l’objet de l'enquête est passée de 39</w:t>
      </w:r>
      <w:r w:rsidR="00C443FE">
        <w:rPr>
          <w:rFonts w:asciiTheme="majorBidi" w:eastAsia="Malgun Gothic" w:hAnsiTheme="majorBidi" w:cstheme="majorBidi"/>
          <w:bCs/>
          <w:lang w:val="fr-FR" w:eastAsia="ko-KR"/>
        </w:rPr>
        <w:t> </w:t>
      </w:r>
      <w:r w:rsidRPr="000B5A59">
        <w:rPr>
          <w:rFonts w:asciiTheme="majorBidi" w:eastAsia="Malgun Gothic" w:hAnsiTheme="majorBidi" w:cstheme="majorBidi"/>
          <w:bCs/>
          <w:lang w:val="fr-FR" w:eastAsia="ko-KR"/>
        </w:rPr>
        <w:t>% en 2012 à 48</w:t>
      </w:r>
      <w:r w:rsidR="00C443FE">
        <w:rPr>
          <w:rFonts w:asciiTheme="majorBidi" w:eastAsia="Malgun Gothic" w:hAnsiTheme="majorBidi" w:cstheme="majorBidi"/>
          <w:bCs/>
          <w:lang w:val="fr-FR" w:eastAsia="ko-KR"/>
        </w:rPr>
        <w:t> </w:t>
      </w:r>
      <w:r w:rsidRPr="000B5A59">
        <w:rPr>
          <w:rFonts w:asciiTheme="majorBidi" w:eastAsia="Malgun Gothic" w:hAnsiTheme="majorBidi" w:cstheme="majorBidi"/>
          <w:bCs/>
          <w:lang w:val="fr-FR" w:eastAsia="ko-KR"/>
        </w:rPr>
        <w:t>% en 2019. Cette évolution est logique au vu des tendances au niveau des inscriptions dans les établissements régionaux de formation. Une tendance semblable est également observée en Australie, où les femmes sont plus nombreuses à commencer à exercer une profession médicale. Comme le montre la figure 8, la part de femmes dans les personnels médicaux a augmenté dans neuf États insulaires océaniens et celles-ci représentent au moins 50</w:t>
      </w:r>
      <w:r w:rsidR="00C443FE">
        <w:rPr>
          <w:rFonts w:asciiTheme="majorBidi" w:eastAsia="Malgun Gothic" w:hAnsiTheme="majorBidi" w:cstheme="majorBidi"/>
          <w:bCs/>
          <w:lang w:val="fr-FR" w:eastAsia="ko-KR"/>
        </w:rPr>
        <w:t> </w:t>
      </w:r>
      <w:r w:rsidRPr="000B5A59">
        <w:rPr>
          <w:rFonts w:asciiTheme="majorBidi" w:eastAsia="Malgun Gothic" w:hAnsiTheme="majorBidi" w:cstheme="majorBidi"/>
          <w:bCs/>
          <w:lang w:val="fr-FR" w:eastAsia="ko-KR"/>
        </w:rPr>
        <w:t xml:space="preserve">% des personnels </w:t>
      </w:r>
      <w:r w:rsidRPr="000B5A59">
        <w:rPr>
          <w:rFonts w:asciiTheme="majorBidi" w:eastAsia="Malgun Gothic" w:hAnsiTheme="majorBidi" w:cstheme="majorBidi"/>
          <w:bCs/>
          <w:lang w:val="fr-FR" w:eastAsia="ko-KR"/>
        </w:rPr>
        <w:lastRenderedPageBreak/>
        <w:t>médicaux dans quatre États insulaires océaniens (Tuvalu, Kiribati, les Fidji et Nauru). Les pays sont invités à tenir compte de l’évolution de la démographie des personnels médicaux dans leurs activités de planification, de formation et de gestion.</w:t>
      </w:r>
    </w:p>
    <w:p w14:paraId="264E1757" w14:textId="77777777" w:rsidR="006E2FE4" w:rsidRPr="00D0112D" w:rsidRDefault="006E2FE4" w:rsidP="007A64B5">
      <w:pPr>
        <w:pStyle w:val="Caption"/>
        <w:jc w:val="center"/>
        <w:rPr>
          <w:b w:val="0"/>
          <w:i/>
          <w:lang w:val="fr-FR"/>
        </w:rPr>
      </w:pPr>
    </w:p>
    <w:p w14:paraId="1CE225DF" w14:textId="77777777" w:rsidR="007A64B5" w:rsidRPr="000B5A59" w:rsidRDefault="000B5A59" w:rsidP="007A64B5">
      <w:pPr>
        <w:pStyle w:val="Caption"/>
        <w:jc w:val="center"/>
        <w:rPr>
          <w:rFonts w:asciiTheme="majorBidi" w:eastAsia="Malgun Gothic" w:hAnsiTheme="majorBidi" w:cstheme="majorBidi"/>
          <w:b w:val="0"/>
          <w:bCs w:val="0"/>
          <w:i/>
          <w:lang w:val="fr-FR" w:eastAsia="ko-KR"/>
        </w:rPr>
      </w:pPr>
      <w:r w:rsidRPr="000B5A59">
        <w:rPr>
          <w:b w:val="0"/>
          <w:i/>
          <w:lang w:val="fr-FR"/>
        </w:rPr>
        <w:t>Figure 8 : Part (en pourcentage) des médecins locaux de sexe féminin (2012 et 2019)</w:t>
      </w:r>
    </w:p>
    <w:p w14:paraId="2AD39782" w14:textId="77777777" w:rsidR="007A64B5" w:rsidRPr="00D0112D" w:rsidRDefault="007A64B5" w:rsidP="00200CDC">
      <w:pPr>
        <w:spacing w:after="0" w:line="360" w:lineRule="auto"/>
        <w:jc w:val="both"/>
        <w:rPr>
          <w:rFonts w:asciiTheme="majorBidi" w:eastAsia="Malgun Gothic" w:hAnsiTheme="majorBidi" w:cstheme="majorBidi"/>
          <w:bCs/>
          <w:lang w:val="fr-FR" w:eastAsia="ko-KR"/>
        </w:rPr>
      </w:pPr>
    </w:p>
    <w:p w14:paraId="1268123F" w14:textId="77777777" w:rsidR="007A64B5" w:rsidRDefault="007A64B5" w:rsidP="00200CDC">
      <w:pPr>
        <w:spacing w:after="0" w:line="360" w:lineRule="auto"/>
        <w:jc w:val="both"/>
        <w:rPr>
          <w:rFonts w:asciiTheme="majorBidi" w:eastAsia="Malgun Gothic" w:hAnsiTheme="majorBidi" w:cstheme="majorBidi"/>
          <w:bCs/>
          <w:lang w:eastAsia="ko-KR"/>
        </w:rPr>
      </w:pPr>
      <w:r>
        <w:rPr>
          <w:noProof/>
          <w:lang w:val="en-US" w:eastAsia="en-US"/>
        </w:rPr>
        <w:drawing>
          <wp:inline distT="0" distB="0" distL="0" distR="0" wp14:anchorId="466A5377" wp14:editId="7810C7AE">
            <wp:extent cx="5732145" cy="3190875"/>
            <wp:effectExtent l="0" t="0" r="1905"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D90C152" w14:textId="77777777" w:rsidR="006E2FE4" w:rsidRDefault="006E2FE4" w:rsidP="004A6D7B">
      <w:pPr>
        <w:spacing w:after="0" w:line="360" w:lineRule="auto"/>
        <w:rPr>
          <w:rFonts w:asciiTheme="majorBidi" w:eastAsia="Malgun Gothic" w:hAnsiTheme="majorBidi" w:cstheme="majorBidi"/>
          <w:b/>
          <w:bCs/>
          <w:lang w:eastAsia="ko-KR"/>
        </w:rPr>
      </w:pPr>
    </w:p>
    <w:p w14:paraId="53202065" w14:textId="77777777" w:rsidR="007F56B2" w:rsidRPr="007F56B2" w:rsidRDefault="007F56B2" w:rsidP="007F56B2">
      <w:pPr>
        <w:widowControl w:val="0"/>
        <w:spacing w:after="0" w:line="360" w:lineRule="auto"/>
        <w:jc w:val="both"/>
        <w:rPr>
          <w:rFonts w:ascii="Times New Roman" w:eastAsia="Times New Roman" w:hAnsi="Times New Roman" w:cs="Times New Roman"/>
          <w:b/>
          <w:lang w:val="fr-FR" w:eastAsia="fr-FR"/>
        </w:rPr>
      </w:pPr>
      <w:r w:rsidRPr="007F56B2">
        <w:rPr>
          <w:rFonts w:ascii="Times New Roman" w:eastAsia="Times New Roman" w:hAnsi="Times New Roman" w:cs="Times New Roman"/>
          <w:b/>
          <w:lang w:val="fr-FR" w:eastAsia="fr-FR"/>
        </w:rPr>
        <w:t>2.4</w:t>
      </w:r>
      <w:r w:rsidRPr="007F56B2">
        <w:rPr>
          <w:rFonts w:ascii="Times New Roman" w:eastAsia="Times New Roman" w:hAnsi="Times New Roman" w:cs="Times New Roman"/>
          <w:b/>
          <w:lang w:val="fr-FR" w:eastAsia="fr-FR"/>
        </w:rPr>
        <w:tab/>
        <w:t xml:space="preserve">Médecins océaniens menant des activités dans le domaine de la santé publique et des travaux de gestion </w:t>
      </w:r>
    </w:p>
    <w:p w14:paraId="12879FAE" w14:textId="77777777" w:rsidR="007F56B2" w:rsidRPr="007F56B2" w:rsidRDefault="007F56B2" w:rsidP="007F56B2">
      <w:pPr>
        <w:widowControl w:val="0"/>
        <w:spacing w:line="360" w:lineRule="auto"/>
        <w:jc w:val="both"/>
        <w:rPr>
          <w:lang w:val="fr-FR"/>
        </w:rPr>
      </w:pPr>
    </w:p>
    <w:p w14:paraId="780599A5" w14:textId="4DCD466B" w:rsidR="007F56B2" w:rsidRDefault="007F56B2" w:rsidP="007F56B2">
      <w:pPr>
        <w:widowControl w:val="0"/>
        <w:spacing w:after="0" w:line="360" w:lineRule="auto"/>
        <w:jc w:val="both"/>
        <w:rPr>
          <w:rFonts w:ascii="Times New Roman" w:eastAsia="Times New Roman" w:hAnsi="Times New Roman" w:cs="Times New Roman"/>
          <w:lang w:val="fr-FR" w:eastAsia="fr-FR"/>
        </w:rPr>
      </w:pPr>
      <w:r w:rsidRPr="007F56B2">
        <w:rPr>
          <w:rFonts w:ascii="Times New Roman" w:eastAsia="Times New Roman" w:hAnsi="Times New Roman" w:cs="Times New Roman"/>
          <w:lang w:val="fr-FR" w:eastAsia="fr-FR"/>
        </w:rPr>
        <w:t>Au total, 55 médecins locaux étaient titulaires de diplômes en santé publique ou dans des domaines connexes dans les pays concernés par l’enquête. C’est peu par rapport aux 326 médecins océaniens ayant validé une formation clinique d’études supérieures. Comme le montre la figure 9, 88 % (45) des médecins océaniens titulaires de diplômes d’études supérieures dans des domaines non cliniques étaient spécialisés en santé publique.</w:t>
      </w:r>
    </w:p>
    <w:p w14:paraId="57134386" w14:textId="56A93318" w:rsidR="0085473E" w:rsidRDefault="0085473E" w:rsidP="007F56B2">
      <w:pPr>
        <w:widowControl w:val="0"/>
        <w:spacing w:after="0" w:line="360" w:lineRule="auto"/>
        <w:jc w:val="both"/>
        <w:rPr>
          <w:rFonts w:ascii="Times New Roman" w:eastAsia="Times New Roman" w:hAnsi="Times New Roman" w:cs="Times New Roman"/>
          <w:lang w:val="fr-FR" w:eastAsia="fr-FR"/>
        </w:rPr>
      </w:pPr>
    </w:p>
    <w:p w14:paraId="341A0D6A" w14:textId="4C39C903" w:rsidR="0085473E" w:rsidRDefault="0085473E" w:rsidP="007F56B2">
      <w:pPr>
        <w:widowControl w:val="0"/>
        <w:spacing w:after="0" w:line="360" w:lineRule="auto"/>
        <w:jc w:val="both"/>
        <w:rPr>
          <w:rFonts w:ascii="Times New Roman" w:eastAsia="Times New Roman" w:hAnsi="Times New Roman" w:cs="Times New Roman"/>
          <w:lang w:val="fr-FR" w:eastAsia="fr-FR"/>
        </w:rPr>
      </w:pPr>
    </w:p>
    <w:p w14:paraId="5FE15E11" w14:textId="02642F68" w:rsidR="0085473E" w:rsidRDefault="0085473E" w:rsidP="007F56B2">
      <w:pPr>
        <w:widowControl w:val="0"/>
        <w:spacing w:after="0" w:line="360" w:lineRule="auto"/>
        <w:jc w:val="both"/>
        <w:rPr>
          <w:rFonts w:ascii="Times New Roman" w:eastAsia="Times New Roman" w:hAnsi="Times New Roman" w:cs="Times New Roman"/>
          <w:lang w:val="fr-FR" w:eastAsia="fr-FR"/>
        </w:rPr>
      </w:pPr>
    </w:p>
    <w:p w14:paraId="587B57AF" w14:textId="77777777" w:rsidR="0085473E" w:rsidRPr="007F56B2" w:rsidRDefault="0085473E" w:rsidP="007F56B2">
      <w:pPr>
        <w:widowControl w:val="0"/>
        <w:spacing w:after="0" w:line="360" w:lineRule="auto"/>
        <w:jc w:val="both"/>
        <w:rPr>
          <w:rFonts w:ascii="Times New Roman" w:eastAsia="Times New Roman" w:hAnsi="Times New Roman" w:cs="Times New Roman"/>
          <w:lang w:val="fr-FR" w:eastAsia="fr-FR"/>
        </w:rPr>
      </w:pPr>
    </w:p>
    <w:p w14:paraId="262CA037" w14:textId="77777777" w:rsidR="006E2FE4" w:rsidRPr="007F56B2" w:rsidRDefault="006E2FE4" w:rsidP="00B05F11">
      <w:pPr>
        <w:pStyle w:val="Caption"/>
        <w:jc w:val="center"/>
        <w:rPr>
          <w:b w:val="0"/>
          <w:i/>
          <w:lang w:val="fr-FR"/>
        </w:rPr>
      </w:pPr>
    </w:p>
    <w:p w14:paraId="190B26D0" w14:textId="77777777" w:rsidR="00ED0447" w:rsidRPr="00F45C03" w:rsidRDefault="00F45C03" w:rsidP="00B05F11">
      <w:pPr>
        <w:pStyle w:val="Caption"/>
        <w:jc w:val="center"/>
        <w:rPr>
          <w:b w:val="0"/>
          <w:i/>
          <w:lang w:val="fr-FR"/>
        </w:rPr>
      </w:pPr>
      <w:r w:rsidRPr="00F45C03">
        <w:rPr>
          <w:b w:val="0"/>
          <w:i/>
          <w:lang w:val="fr-FR"/>
        </w:rPr>
        <w:t>Figure 9 : Répartition des médecins océaniens titulaires de diplômes d’études supérieures dans des domaines non cliniques</w:t>
      </w:r>
    </w:p>
    <w:p w14:paraId="5BDCC251" w14:textId="77777777" w:rsidR="00F45C03" w:rsidRPr="00F45C03" w:rsidRDefault="00F45C03" w:rsidP="00F45C03">
      <w:pPr>
        <w:rPr>
          <w:lang w:val="fr-FR" w:eastAsia="ja-JP"/>
        </w:rPr>
      </w:pPr>
    </w:p>
    <w:p w14:paraId="3F178594" w14:textId="77777777" w:rsidR="00F45C03" w:rsidRPr="00F45C03" w:rsidRDefault="00B06D26" w:rsidP="00F45C03">
      <w:pPr>
        <w:tabs>
          <w:tab w:val="left" w:pos="5340"/>
        </w:tabs>
        <w:rPr>
          <w:lang w:val="fr-FR"/>
        </w:rPr>
      </w:pPr>
      <w:r w:rsidRPr="00F45C03">
        <w:rPr>
          <w:noProof/>
          <w:lang w:val="en-US" w:eastAsia="en-US"/>
        </w:rPr>
        <w:lastRenderedPageBreak/>
        <w:drawing>
          <wp:inline distT="0" distB="0" distL="0" distR="0" wp14:anchorId="36C95B0B" wp14:editId="65B68026">
            <wp:extent cx="5557520" cy="1362075"/>
            <wp:effectExtent l="0" t="0" r="5080" b="952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F45C03" w:rsidRPr="00F45C03">
        <w:rPr>
          <w:noProof/>
          <w:lang w:val="en-US" w:eastAsia="en-US"/>
        </w:rPr>
        <w:drawing>
          <wp:inline distT="0" distB="0" distL="0" distR="0" wp14:anchorId="255F12C4" wp14:editId="4B5F9E54">
            <wp:extent cx="5732145" cy="430530"/>
            <wp:effectExtent l="0" t="0" r="1905"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430530"/>
                    </a:xfrm>
                    <a:prstGeom prst="rect">
                      <a:avLst/>
                    </a:prstGeom>
                  </pic:spPr>
                </pic:pic>
              </a:graphicData>
            </a:graphic>
          </wp:inline>
        </w:drawing>
      </w:r>
    </w:p>
    <w:p w14:paraId="046C44AD" w14:textId="77777777" w:rsidR="00F45C03" w:rsidRPr="00F45C03" w:rsidRDefault="00F45C03" w:rsidP="00F45C03">
      <w:pPr>
        <w:widowControl w:val="0"/>
        <w:spacing w:after="0" w:line="240" w:lineRule="auto"/>
        <w:jc w:val="both"/>
        <w:rPr>
          <w:rFonts w:ascii="Calibri" w:hAnsi="Calibri" w:cs="Calibri"/>
          <w:sz w:val="18"/>
          <w:szCs w:val="18"/>
          <w:lang w:val="fr-FR"/>
        </w:rPr>
      </w:pPr>
    </w:p>
    <w:p w14:paraId="48936662" w14:textId="77777777" w:rsidR="00602E76" w:rsidRPr="00F45C03" w:rsidRDefault="00F45C03" w:rsidP="00602E76">
      <w:pPr>
        <w:pStyle w:val="Caption"/>
        <w:jc w:val="center"/>
        <w:rPr>
          <w:b w:val="0"/>
          <w:i/>
          <w:lang w:val="fr-FR"/>
        </w:rPr>
      </w:pPr>
      <w:r w:rsidRPr="00F45C03">
        <w:rPr>
          <w:b w:val="0"/>
          <w:i/>
          <w:lang w:val="fr-FR"/>
        </w:rPr>
        <w:t>Figure 10 : Nombre de médecins océaniens titulaires de diplômes d’études supérieures en santé publique/épidémiologie/gestion des services de santé</w:t>
      </w:r>
    </w:p>
    <w:p w14:paraId="59CB86A8" w14:textId="77777777" w:rsidR="0026656D" w:rsidRPr="00D0112D" w:rsidRDefault="0026656D" w:rsidP="004A6D7B">
      <w:pPr>
        <w:spacing w:after="0" w:line="240" w:lineRule="auto"/>
        <w:contextualSpacing/>
        <w:jc w:val="both"/>
        <w:rPr>
          <w:rFonts w:asciiTheme="majorBidi" w:eastAsia="Malgun Gothic" w:hAnsiTheme="majorBidi" w:cstheme="majorBidi"/>
          <w:bCs/>
          <w:lang w:val="fr-FR" w:eastAsia="ko-KR"/>
        </w:rPr>
      </w:pPr>
    </w:p>
    <w:p w14:paraId="6FF9B8B0" w14:textId="77777777" w:rsidR="00602E76" w:rsidRDefault="000B076C" w:rsidP="00602E76">
      <w:pPr>
        <w:spacing w:after="0" w:line="240" w:lineRule="auto"/>
        <w:contextualSpacing/>
        <w:rPr>
          <w:rFonts w:asciiTheme="majorBidi" w:eastAsia="Malgun Gothic" w:hAnsiTheme="majorBidi" w:cstheme="majorBidi"/>
          <w:lang w:eastAsia="ko-KR"/>
        </w:rPr>
      </w:pPr>
      <w:r>
        <w:rPr>
          <w:noProof/>
          <w:lang w:val="en-US" w:eastAsia="en-US"/>
        </w:rPr>
        <w:drawing>
          <wp:inline distT="0" distB="0" distL="0" distR="0" wp14:anchorId="2E49CE0A" wp14:editId="60722115">
            <wp:extent cx="5685155" cy="2238375"/>
            <wp:effectExtent l="0" t="0" r="10795"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bl>
      <w:tblPr>
        <w:tblStyle w:val="TableGrid"/>
        <w:tblW w:w="8222"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564"/>
        <w:gridCol w:w="568"/>
        <w:gridCol w:w="570"/>
        <w:gridCol w:w="567"/>
        <w:gridCol w:w="567"/>
        <w:gridCol w:w="567"/>
        <w:gridCol w:w="709"/>
        <w:gridCol w:w="567"/>
        <w:gridCol w:w="567"/>
        <w:gridCol w:w="567"/>
        <w:gridCol w:w="567"/>
        <w:gridCol w:w="709"/>
        <w:gridCol w:w="567"/>
      </w:tblGrid>
      <w:tr w:rsidR="00EB25DB" w:rsidRPr="00F45C03" w14:paraId="6BC3EA2D" w14:textId="77777777" w:rsidTr="00EB25DB">
        <w:trPr>
          <w:cantSplit/>
          <w:trHeight w:val="1788"/>
        </w:trPr>
        <w:tc>
          <w:tcPr>
            <w:tcW w:w="566" w:type="dxa"/>
            <w:textDirection w:val="btLr"/>
          </w:tcPr>
          <w:p w14:paraId="5A2F3A16"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Fidji</w:t>
            </w:r>
          </w:p>
        </w:tc>
        <w:tc>
          <w:tcPr>
            <w:tcW w:w="564" w:type="dxa"/>
            <w:textDirection w:val="btLr"/>
          </w:tcPr>
          <w:p w14:paraId="60D44B76"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Îles Salomon</w:t>
            </w:r>
          </w:p>
        </w:tc>
        <w:tc>
          <w:tcPr>
            <w:tcW w:w="568" w:type="dxa"/>
            <w:textDirection w:val="btLr"/>
          </w:tcPr>
          <w:p w14:paraId="4B5FD62B"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Tonga</w:t>
            </w:r>
          </w:p>
        </w:tc>
        <w:tc>
          <w:tcPr>
            <w:tcW w:w="570" w:type="dxa"/>
            <w:textDirection w:val="btLr"/>
          </w:tcPr>
          <w:p w14:paraId="36A80377"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Samoa</w:t>
            </w:r>
          </w:p>
        </w:tc>
        <w:tc>
          <w:tcPr>
            <w:tcW w:w="567" w:type="dxa"/>
            <w:textDirection w:val="btLr"/>
          </w:tcPr>
          <w:p w14:paraId="6699CFE2"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Palau</w:t>
            </w:r>
          </w:p>
        </w:tc>
        <w:tc>
          <w:tcPr>
            <w:tcW w:w="567" w:type="dxa"/>
            <w:textDirection w:val="btLr"/>
          </w:tcPr>
          <w:p w14:paraId="35C90145"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Kiribati</w:t>
            </w:r>
          </w:p>
        </w:tc>
        <w:tc>
          <w:tcPr>
            <w:tcW w:w="567" w:type="dxa"/>
            <w:textDirection w:val="btLr"/>
          </w:tcPr>
          <w:p w14:paraId="7B428AAE"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Îles Cook</w:t>
            </w:r>
          </w:p>
        </w:tc>
        <w:tc>
          <w:tcPr>
            <w:tcW w:w="709" w:type="dxa"/>
            <w:textDirection w:val="btLr"/>
          </w:tcPr>
          <w:p w14:paraId="42CF3484"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Îles Marshall</w:t>
            </w:r>
          </w:p>
        </w:tc>
        <w:tc>
          <w:tcPr>
            <w:tcW w:w="567" w:type="dxa"/>
            <w:textDirection w:val="btLr"/>
          </w:tcPr>
          <w:p w14:paraId="221E76CF"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Vanuatu</w:t>
            </w:r>
          </w:p>
        </w:tc>
        <w:tc>
          <w:tcPr>
            <w:tcW w:w="567" w:type="dxa"/>
            <w:textDirection w:val="btLr"/>
          </w:tcPr>
          <w:p w14:paraId="05C0A849"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États féd. Micronésie</w:t>
            </w:r>
          </w:p>
        </w:tc>
        <w:tc>
          <w:tcPr>
            <w:tcW w:w="567" w:type="dxa"/>
            <w:textDirection w:val="btLr"/>
          </w:tcPr>
          <w:p w14:paraId="4B04BE21"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Tuvalu</w:t>
            </w:r>
          </w:p>
        </w:tc>
        <w:tc>
          <w:tcPr>
            <w:tcW w:w="567" w:type="dxa"/>
            <w:textDirection w:val="btLr"/>
          </w:tcPr>
          <w:p w14:paraId="0FFEC804"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Nauru</w:t>
            </w:r>
          </w:p>
        </w:tc>
        <w:tc>
          <w:tcPr>
            <w:tcW w:w="709" w:type="dxa"/>
            <w:textDirection w:val="btLr"/>
          </w:tcPr>
          <w:p w14:paraId="3C4BF4A1"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Tokelau</w:t>
            </w:r>
          </w:p>
        </w:tc>
        <w:tc>
          <w:tcPr>
            <w:tcW w:w="567" w:type="dxa"/>
            <w:textDirection w:val="btLr"/>
          </w:tcPr>
          <w:p w14:paraId="48F4A0A6" w14:textId="77777777" w:rsidR="00F45C03" w:rsidRPr="00F45C03" w:rsidRDefault="00F45C03" w:rsidP="00F45C03">
            <w:pPr>
              <w:ind w:left="113" w:right="113"/>
              <w:jc w:val="both"/>
              <w:rPr>
                <w:rFonts w:ascii="Calibri" w:eastAsia="Malgun Gothic" w:hAnsi="Calibri" w:cs="Calibri"/>
                <w:bCs/>
                <w:sz w:val="18"/>
                <w:szCs w:val="18"/>
                <w:lang w:val="fr-FR" w:eastAsia="ko-KR"/>
              </w:rPr>
            </w:pPr>
            <w:r w:rsidRPr="00F45C03">
              <w:rPr>
                <w:rFonts w:ascii="Calibri" w:eastAsia="Malgun Gothic" w:hAnsi="Calibri" w:cs="Calibri"/>
                <w:bCs/>
                <w:sz w:val="18"/>
                <w:szCs w:val="18"/>
                <w:lang w:val="fr-FR" w:eastAsia="ko-KR"/>
              </w:rPr>
              <w:t>Niue</w:t>
            </w:r>
          </w:p>
        </w:tc>
      </w:tr>
    </w:tbl>
    <w:p w14:paraId="55FBB370" w14:textId="77777777" w:rsidR="00591748" w:rsidRDefault="00591748" w:rsidP="004A6D7B">
      <w:pPr>
        <w:spacing w:after="0" w:line="360" w:lineRule="auto"/>
        <w:jc w:val="both"/>
        <w:rPr>
          <w:rFonts w:asciiTheme="majorBidi" w:eastAsia="Malgun Gothic" w:hAnsiTheme="majorBidi" w:cstheme="majorBidi"/>
          <w:bCs/>
          <w:lang w:eastAsia="ko-KR"/>
        </w:rPr>
      </w:pPr>
    </w:p>
    <w:p w14:paraId="341FA987" w14:textId="77AD9E0B" w:rsidR="0098679B" w:rsidRDefault="00EB25DB" w:rsidP="004A6D7B">
      <w:pPr>
        <w:spacing w:after="0" w:line="360" w:lineRule="auto"/>
        <w:jc w:val="both"/>
        <w:rPr>
          <w:rFonts w:asciiTheme="majorBidi" w:eastAsia="Malgun Gothic" w:hAnsiTheme="majorBidi" w:cstheme="majorBidi"/>
          <w:bCs/>
          <w:lang w:val="fr-FR" w:eastAsia="ko-KR"/>
        </w:rPr>
      </w:pPr>
      <w:r w:rsidRPr="00EB25DB">
        <w:rPr>
          <w:rFonts w:asciiTheme="majorBidi" w:eastAsia="Malgun Gothic" w:hAnsiTheme="majorBidi" w:cstheme="majorBidi"/>
          <w:bCs/>
          <w:lang w:val="fr-FR" w:eastAsia="ko-KR"/>
        </w:rPr>
        <w:t>Six pays (46</w:t>
      </w:r>
      <w:r w:rsidR="00C443FE">
        <w:rPr>
          <w:rFonts w:asciiTheme="majorBidi" w:eastAsia="Malgun Gothic" w:hAnsiTheme="majorBidi" w:cstheme="majorBidi"/>
          <w:bCs/>
          <w:lang w:val="fr-FR" w:eastAsia="ko-KR"/>
        </w:rPr>
        <w:t> </w:t>
      </w:r>
      <w:r w:rsidRPr="00EB25DB">
        <w:rPr>
          <w:rFonts w:asciiTheme="majorBidi" w:eastAsia="Malgun Gothic" w:hAnsiTheme="majorBidi" w:cstheme="majorBidi"/>
          <w:bCs/>
          <w:lang w:val="fr-FR" w:eastAsia="ko-KR"/>
        </w:rPr>
        <w:t>%) ne comptaient aucun médecin local titulaire d’un diplôme d’études supérieures en santé publique, épidémiologie ou gestion des services de santé. La figure 11 présente pour chaque pays le nombre de médecins locaux titulaires de diplômes d’études supérieures de niveaux différents dans les domaines non cliniques.</w:t>
      </w:r>
    </w:p>
    <w:p w14:paraId="5A950767" w14:textId="00AFE5BC" w:rsidR="0085473E" w:rsidRDefault="0085473E" w:rsidP="004A6D7B">
      <w:pPr>
        <w:spacing w:after="0" w:line="360" w:lineRule="auto"/>
        <w:jc w:val="both"/>
        <w:rPr>
          <w:rFonts w:asciiTheme="majorBidi" w:eastAsia="Malgun Gothic" w:hAnsiTheme="majorBidi" w:cstheme="majorBidi"/>
          <w:bCs/>
          <w:lang w:val="fr-FR" w:eastAsia="ko-KR"/>
        </w:rPr>
      </w:pPr>
    </w:p>
    <w:p w14:paraId="770D1916" w14:textId="77777777" w:rsidR="0085473E" w:rsidRPr="00EB25DB" w:rsidRDefault="0085473E" w:rsidP="004A6D7B">
      <w:pPr>
        <w:spacing w:after="0" w:line="360" w:lineRule="auto"/>
        <w:jc w:val="both"/>
        <w:rPr>
          <w:rFonts w:asciiTheme="majorBidi" w:eastAsia="Malgun Gothic" w:hAnsiTheme="majorBidi" w:cstheme="majorBidi"/>
          <w:bCs/>
          <w:lang w:val="fr-FR" w:eastAsia="ko-KR"/>
        </w:rPr>
      </w:pPr>
    </w:p>
    <w:p w14:paraId="3DB771B7" w14:textId="77777777" w:rsidR="00F47912" w:rsidRPr="00EB25DB" w:rsidRDefault="00F47912" w:rsidP="004A6D7B">
      <w:pPr>
        <w:spacing w:after="0" w:line="240" w:lineRule="auto"/>
        <w:contextualSpacing/>
        <w:jc w:val="both"/>
        <w:rPr>
          <w:rFonts w:asciiTheme="majorBidi" w:eastAsia="Malgun Gothic" w:hAnsiTheme="majorBidi" w:cstheme="majorBidi"/>
          <w:bCs/>
          <w:lang w:val="fr-FR" w:eastAsia="ko-KR"/>
        </w:rPr>
      </w:pPr>
    </w:p>
    <w:p w14:paraId="419252DF" w14:textId="65E9ADC9" w:rsidR="00ED0447" w:rsidRPr="00D27664" w:rsidRDefault="00ED0447" w:rsidP="00B05F11">
      <w:pPr>
        <w:pStyle w:val="Caption"/>
        <w:jc w:val="center"/>
        <w:rPr>
          <w:b w:val="0"/>
          <w:i/>
          <w:lang w:val="fr-FR"/>
        </w:rPr>
      </w:pPr>
      <w:r w:rsidRPr="00C270C6">
        <w:rPr>
          <w:b w:val="0"/>
          <w:i/>
          <w:lang w:val="fr-FR"/>
        </w:rPr>
        <w:t xml:space="preserve">Figure </w:t>
      </w:r>
      <w:r w:rsidR="006E2FE4" w:rsidRPr="00C270C6">
        <w:rPr>
          <w:b w:val="0"/>
          <w:i/>
          <w:lang w:val="fr-FR"/>
        </w:rPr>
        <w:t>11</w:t>
      </w:r>
      <w:r w:rsidR="00D27664" w:rsidRPr="00C270C6">
        <w:rPr>
          <w:b w:val="0"/>
          <w:i/>
          <w:lang w:val="fr-FR"/>
        </w:rPr>
        <w:t> </w:t>
      </w:r>
      <w:r w:rsidRPr="00C270C6">
        <w:rPr>
          <w:b w:val="0"/>
          <w:i/>
          <w:lang w:val="fr-FR"/>
        </w:rPr>
        <w:t>: N</w:t>
      </w:r>
      <w:r w:rsidR="00D27664" w:rsidRPr="00C270C6">
        <w:rPr>
          <w:b w:val="0"/>
          <w:i/>
          <w:lang w:val="fr-FR"/>
        </w:rPr>
        <w:t xml:space="preserve">ombre de médecins locaux titulaires d’un </w:t>
      </w:r>
      <w:r w:rsidR="00CB25A4" w:rsidRPr="00C270C6">
        <w:rPr>
          <w:b w:val="0"/>
          <w:i/>
          <w:lang w:val="fr-FR"/>
        </w:rPr>
        <w:t xml:space="preserve">diplôme d’études supérieures </w:t>
      </w:r>
      <w:r w:rsidR="00D27664" w:rsidRPr="00C270C6">
        <w:rPr>
          <w:b w:val="0"/>
          <w:i/>
          <w:lang w:val="fr-FR"/>
        </w:rPr>
        <w:t>en santé publique/épidémiologie appliquée/gestion des systèmes de santé</w:t>
      </w:r>
      <w:r w:rsidRPr="00C270C6">
        <w:rPr>
          <w:b w:val="0"/>
          <w:i/>
          <w:lang w:val="fr-FR"/>
        </w:rPr>
        <w:t xml:space="preserve"> </w:t>
      </w:r>
      <w:r w:rsidR="00553C39" w:rsidRPr="00C270C6">
        <w:rPr>
          <w:b w:val="0"/>
          <w:i/>
          <w:lang w:val="fr-FR"/>
        </w:rPr>
        <w:t>–</w:t>
      </w:r>
      <w:r w:rsidRPr="00C270C6">
        <w:rPr>
          <w:b w:val="0"/>
          <w:i/>
          <w:lang w:val="fr-FR"/>
        </w:rPr>
        <w:t xml:space="preserve"> </w:t>
      </w:r>
      <w:r w:rsidR="001860E4" w:rsidRPr="00C270C6">
        <w:rPr>
          <w:b w:val="0"/>
          <w:i/>
          <w:lang w:val="fr-FR"/>
        </w:rPr>
        <w:t>diplôme d’études supérie</w:t>
      </w:r>
      <w:r w:rsidR="00EB2824">
        <w:rPr>
          <w:b w:val="0"/>
          <w:i/>
          <w:lang w:val="fr-FR"/>
        </w:rPr>
        <w:t>ures en santé publique et master</w:t>
      </w:r>
      <w:r w:rsidR="001860E4" w:rsidRPr="00C270C6">
        <w:rPr>
          <w:b w:val="0"/>
          <w:i/>
          <w:lang w:val="fr-FR"/>
        </w:rPr>
        <w:t>/doctorat</w:t>
      </w:r>
    </w:p>
    <w:p w14:paraId="2582033D" w14:textId="77777777" w:rsidR="006E2FE4" w:rsidRPr="00D27664" w:rsidRDefault="006E2FE4" w:rsidP="006E2FE4">
      <w:pPr>
        <w:rPr>
          <w:lang w:val="fr-FR" w:eastAsia="ja-JP"/>
        </w:rPr>
      </w:pPr>
    </w:p>
    <w:p w14:paraId="07C306EB" w14:textId="77777777" w:rsidR="00B06D26" w:rsidRDefault="000B076C" w:rsidP="004A6D7B">
      <w:pPr>
        <w:spacing w:after="0" w:line="240" w:lineRule="auto"/>
        <w:contextualSpacing/>
        <w:rPr>
          <w:rFonts w:asciiTheme="majorBidi" w:eastAsia="Malgun Gothic" w:hAnsiTheme="majorBidi" w:cstheme="majorBidi"/>
          <w:lang w:eastAsia="ko-KR"/>
        </w:rPr>
      </w:pPr>
      <w:r>
        <w:rPr>
          <w:noProof/>
          <w:lang w:val="en-US" w:eastAsia="en-US"/>
        </w:rPr>
        <w:lastRenderedPageBreak/>
        <w:drawing>
          <wp:inline distT="0" distB="0" distL="0" distR="0" wp14:anchorId="156C1F76" wp14:editId="6FFFBCDE">
            <wp:extent cx="5732145" cy="2636520"/>
            <wp:effectExtent l="0" t="0" r="1905" b="1143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FED0AFC" w14:textId="77777777" w:rsidR="00D603FC" w:rsidRDefault="00D603FC" w:rsidP="004A6D7B">
      <w:pPr>
        <w:spacing w:after="0" w:line="360" w:lineRule="auto"/>
        <w:contextualSpacing/>
        <w:jc w:val="both"/>
        <w:rPr>
          <w:rFonts w:asciiTheme="majorBidi" w:eastAsia="Malgun Gothic" w:hAnsiTheme="majorBidi" w:cstheme="majorBidi"/>
          <w:lang w:eastAsia="ko-KR"/>
        </w:rPr>
      </w:pPr>
    </w:p>
    <w:p w14:paraId="23CB466E" w14:textId="77777777" w:rsidR="00EB25DB" w:rsidRPr="00EB25DB" w:rsidRDefault="00EB25DB" w:rsidP="00EB25DB">
      <w:pPr>
        <w:spacing w:after="0" w:line="360" w:lineRule="auto"/>
        <w:jc w:val="both"/>
        <w:rPr>
          <w:rFonts w:asciiTheme="majorBidi" w:eastAsia="Malgun Gothic" w:hAnsiTheme="majorBidi" w:cstheme="majorBidi"/>
          <w:bCs/>
          <w:lang w:val="fr-FR" w:eastAsia="ko-KR"/>
        </w:rPr>
      </w:pPr>
      <w:r w:rsidRPr="00EB25DB">
        <w:rPr>
          <w:rFonts w:asciiTheme="majorBidi" w:eastAsia="Malgun Gothic" w:hAnsiTheme="majorBidi" w:cstheme="majorBidi"/>
          <w:bCs/>
          <w:lang w:val="fr-FR" w:eastAsia="ko-KR"/>
        </w:rPr>
        <w:t>Comme pour le personnel clinique local, la différence entre le nombre de médecins de sexe masculin et de sexe féminin titulaires de diplômes d’études supérieures dans les domaines non cliniques est minime. Le graphique ci-dessous illustre la répartition par sexe des médecins locaux titulaires de masters/doctorats et de certificats/diplômes d’études supérieures dans les domaines non cliniques.</w:t>
      </w:r>
    </w:p>
    <w:p w14:paraId="4859BE7B" w14:textId="77777777" w:rsidR="00EB25DB" w:rsidRPr="00EB25DB" w:rsidRDefault="00EB25DB" w:rsidP="00EB25DB">
      <w:pPr>
        <w:spacing w:after="0" w:line="360" w:lineRule="auto"/>
        <w:jc w:val="both"/>
        <w:rPr>
          <w:rFonts w:asciiTheme="majorBidi" w:eastAsia="Malgun Gothic" w:hAnsiTheme="majorBidi" w:cstheme="majorBidi"/>
          <w:bCs/>
          <w:lang w:val="fr-FR" w:eastAsia="ko-KR"/>
        </w:rPr>
      </w:pPr>
    </w:p>
    <w:p w14:paraId="35ED4A54" w14:textId="77777777" w:rsidR="00ED0447" w:rsidRPr="00EB25DB" w:rsidRDefault="00EB25DB" w:rsidP="00EB25DB">
      <w:pPr>
        <w:pStyle w:val="Caption"/>
        <w:jc w:val="center"/>
        <w:rPr>
          <w:b w:val="0"/>
          <w:i/>
          <w:lang w:val="fr-FR"/>
        </w:rPr>
      </w:pPr>
      <w:r w:rsidRPr="00EB25DB">
        <w:rPr>
          <w:b w:val="0"/>
          <w:i/>
          <w:lang w:val="fr-FR"/>
        </w:rPr>
        <w:t>Figure 12 : Profils par sexe des médecins locaux titulaires de diplômes d’études supérieures dans des domaines non cliniques</w:t>
      </w:r>
    </w:p>
    <w:p w14:paraId="6B494397" w14:textId="77777777" w:rsidR="006E2FE4" w:rsidRPr="00D0112D" w:rsidRDefault="006E2FE4" w:rsidP="006E2FE4">
      <w:pPr>
        <w:rPr>
          <w:lang w:val="fr-FR" w:eastAsia="ja-JP"/>
        </w:rPr>
      </w:pPr>
    </w:p>
    <w:p w14:paraId="74B2F834" w14:textId="77777777" w:rsidR="00B06D26" w:rsidRDefault="005705BF" w:rsidP="004A6D7B">
      <w:pPr>
        <w:spacing w:after="0" w:line="240" w:lineRule="auto"/>
        <w:contextualSpacing/>
        <w:rPr>
          <w:rFonts w:asciiTheme="majorBidi" w:eastAsia="Malgun Gothic" w:hAnsiTheme="majorBidi" w:cstheme="majorBidi"/>
          <w:lang w:eastAsia="ko-KR"/>
        </w:rPr>
      </w:pPr>
      <w:r>
        <w:rPr>
          <w:noProof/>
          <w:lang w:val="en-US" w:eastAsia="en-US"/>
        </w:rPr>
        <w:drawing>
          <wp:inline distT="0" distB="0" distL="0" distR="0" wp14:anchorId="40FD8A08" wp14:editId="59A538A2">
            <wp:extent cx="5685155" cy="1717481"/>
            <wp:effectExtent l="0" t="0" r="10795" b="1651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0E8E8F1" w14:textId="77777777" w:rsidR="004B2143" w:rsidRPr="00AD6E17" w:rsidRDefault="004B2143" w:rsidP="004A6D7B">
      <w:pPr>
        <w:spacing w:after="0" w:line="360" w:lineRule="auto"/>
        <w:contextualSpacing/>
        <w:rPr>
          <w:rFonts w:ascii="Times New Roman" w:eastAsia="Malgun Gothic" w:hAnsi="Times New Roman" w:cs="Times New Roman"/>
          <w:lang w:val="fr-FR" w:eastAsia="ko-KR"/>
        </w:rPr>
      </w:pPr>
    </w:p>
    <w:p w14:paraId="523D1761" w14:textId="77777777" w:rsidR="00AD6E17" w:rsidRPr="00AD6E17" w:rsidRDefault="00AD6E17" w:rsidP="00AD6E17">
      <w:pPr>
        <w:widowControl w:val="0"/>
        <w:spacing w:after="0" w:line="360" w:lineRule="auto"/>
        <w:jc w:val="both"/>
        <w:rPr>
          <w:rFonts w:ascii="Times New Roman" w:eastAsia="Malgun Gothic" w:hAnsi="Times New Roman" w:cs="Times New Roman"/>
          <w:bCs/>
          <w:lang w:val="fr-FR" w:eastAsia="ko-KR"/>
        </w:rPr>
      </w:pPr>
      <w:r w:rsidRPr="00AD6E17">
        <w:rPr>
          <w:rFonts w:ascii="Times New Roman" w:eastAsia="Malgun Gothic" w:hAnsi="Times New Roman" w:cs="Times New Roman"/>
          <w:bCs/>
          <w:lang w:val="fr-FR" w:eastAsia="ko-KR"/>
        </w:rPr>
        <w:t xml:space="preserve">Même si les médecins océaniens sont moins nombreux à être diplômés dans les domaines de la santé publique, de l’épidémiologie ou de la gestion des services de santé, les fonctions relevant de la santé publique peuvent être menées à bien par d’autres catégories de personnels de santé (par exemple le personnel infirmier, les inspecteurs des services sanitaires, les diététiciens, etc.) formées en santé publique.  </w:t>
      </w:r>
    </w:p>
    <w:p w14:paraId="0CB6B610" w14:textId="77777777" w:rsidR="00AD6E17" w:rsidRPr="00AD6E17" w:rsidRDefault="00AD6E17" w:rsidP="00AD6E17">
      <w:pPr>
        <w:widowControl w:val="0"/>
        <w:spacing w:after="0" w:line="360" w:lineRule="auto"/>
        <w:jc w:val="both"/>
        <w:rPr>
          <w:rFonts w:ascii="Times New Roman" w:eastAsia="Malgun Gothic" w:hAnsi="Times New Roman" w:cs="Times New Roman"/>
          <w:bCs/>
          <w:lang w:val="fr-FR" w:eastAsia="ko-KR"/>
        </w:rPr>
      </w:pPr>
    </w:p>
    <w:p w14:paraId="587344C6" w14:textId="77777777" w:rsidR="006E2E07" w:rsidRDefault="00AD6E17" w:rsidP="006641E9">
      <w:pPr>
        <w:numPr>
          <w:ilvl w:val="0"/>
          <w:numId w:val="43"/>
        </w:numPr>
        <w:spacing w:after="0" w:line="360" w:lineRule="auto"/>
        <w:contextualSpacing/>
        <w:jc w:val="center"/>
        <w:rPr>
          <w:rFonts w:ascii="Times New Roman" w:eastAsia="Malgun Gothic" w:hAnsi="Times New Roman" w:cs="Times New Roman"/>
          <w:b/>
          <w:bCs/>
          <w:lang w:val="fr-FR" w:eastAsia="ko-KR"/>
        </w:rPr>
      </w:pPr>
      <w:r w:rsidRPr="00AD6E17">
        <w:rPr>
          <w:rFonts w:ascii="Times New Roman" w:eastAsia="Malgun Gothic" w:hAnsi="Times New Roman" w:cs="Times New Roman"/>
          <w:b/>
          <w:bCs/>
          <w:lang w:val="fr-FR" w:eastAsia="ko-KR"/>
        </w:rPr>
        <w:t>DÉFIS</w:t>
      </w:r>
    </w:p>
    <w:p w14:paraId="59224C46" w14:textId="77777777" w:rsidR="00AD6E17" w:rsidRPr="00AD6E17" w:rsidRDefault="00AD6E17" w:rsidP="00AD6E17">
      <w:pPr>
        <w:spacing w:after="0" w:line="360" w:lineRule="auto"/>
        <w:rPr>
          <w:rFonts w:ascii="Times New Roman" w:eastAsia="Malgun Gothic" w:hAnsi="Times New Roman" w:cs="Times New Roman"/>
          <w:b/>
          <w:bCs/>
          <w:lang w:val="fr-FR" w:eastAsia="ko-KR"/>
        </w:rPr>
      </w:pPr>
    </w:p>
    <w:p w14:paraId="13D50C4C" w14:textId="77777777" w:rsidR="00AD6E17" w:rsidRPr="00AD6E17" w:rsidRDefault="00AD6E17" w:rsidP="00AD6E17">
      <w:pPr>
        <w:widowControl w:val="0"/>
        <w:spacing w:after="0" w:line="360" w:lineRule="auto"/>
        <w:jc w:val="both"/>
        <w:rPr>
          <w:rFonts w:ascii="Times New Roman" w:hAnsi="Times New Roman" w:cs="Times New Roman"/>
          <w:b/>
          <w:lang w:val="fr-FR"/>
        </w:rPr>
      </w:pPr>
      <w:r w:rsidRPr="00AD6E17">
        <w:rPr>
          <w:rFonts w:ascii="Times New Roman" w:hAnsi="Times New Roman" w:cs="Times New Roman"/>
          <w:b/>
          <w:lang w:val="fr-FR"/>
        </w:rPr>
        <w:lastRenderedPageBreak/>
        <w:t>3.1</w:t>
      </w:r>
      <w:r w:rsidRPr="00AD6E17">
        <w:rPr>
          <w:rFonts w:ascii="Times New Roman" w:hAnsi="Times New Roman" w:cs="Times New Roman"/>
          <w:b/>
          <w:lang w:val="fr-FR"/>
        </w:rPr>
        <w:tab/>
        <w:t xml:space="preserve">Médecins océaniens menant des activités cliniques  </w:t>
      </w:r>
    </w:p>
    <w:p w14:paraId="6F45848A"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58FAA688"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Malgré l’amélioration des résultats dans la région en ce qui a trait au nombre de cliniciens, le seuil critique n’a pas encore été atteint dans la plupart des États et Territoires insulaires océaniens. L’enquête n’a pas recueilli d’informations auprès des pays au sujet des principaux défis à relever pour combler ces lacunes. Certaines des grandes difficultés dont il a été question dans les réunions régionales portant sur la santé sont répertoriées ci-dessous</w:t>
      </w:r>
      <w:r w:rsidRPr="00AD6E17">
        <w:rPr>
          <w:rStyle w:val="FootnoteReference"/>
          <w:rFonts w:ascii="Times New Roman" w:hAnsi="Times New Roman" w:cs="Times New Roman"/>
          <w:lang w:val="fr-FR"/>
        </w:rPr>
        <w:footnoteReference w:id="2"/>
      </w:r>
      <w:r w:rsidRPr="00AD6E17">
        <w:rPr>
          <w:rFonts w:ascii="Times New Roman" w:hAnsi="Times New Roman" w:cs="Times New Roman"/>
          <w:lang w:val="fr-FR"/>
        </w:rPr>
        <w:t xml:space="preserve">. </w:t>
      </w:r>
    </w:p>
    <w:p w14:paraId="22D387C0"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280B8A26"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a)</w:t>
      </w:r>
      <w:r w:rsidRPr="00AD6E17">
        <w:rPr>
          <w:rFonts w:ascii="Times New Roman" w:hAnsi="Times New Roman" w:cs="Times New Roman"/>
          <w:lang w:val="fr-FR"/>
        </w:rPr>
        <w:tab/>
        <w:t>Dans un certain nombre d’États et Territoires insulaires océaniens, il est souvent difficile de verser des bourses aux médecins destinés à devenir spécialistes ou à poursuivre des formations d’études supérieures, car les ministères de la Santé sont en concurrence avec d’autres ministères pour l’attribution de ces bourses.</w:t>
      </w:r>
    </w:p>
    <w:p w14:paraId="5DBF8C86"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187EDDC7"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b)</w:t>
      </w:r>
      <w:r w:rsidRPr="00AD6E17">
        <w:rPr>
          <w:rFonts w:ascii="Times New Roman" w:hAnsi="Times New Roman" w:cs="Times New Roman"/>
          <w:lang w:val="fr-FR"/>
        </w:rPr>
        <w:tab/>
        <w:t xml:space="preserve">Les déplacements des médecins spécialistes océaniens d’un pays à l’autre représentent souvent un défi, en particulier pour les plus petits pays qui n’ont qu’un ou deux spécialistes locaux qualifiés dans certaines spécialités. </w:t>
      </w:r>
    </w:p>
    <w:p w14:paraId="560EE0C0"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13D10E34"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c)</w:t>
      </w:r>
      <w:r w:rsidRPr="00AD6E17">
        <w:rPr>
          <w:rFonts w:ascii="Times New Roman" w:hAnsi="Times New Roman" w:cs="Times New Roman"/>
          <w:lang w:val="fr-FR"/>
        </w:rPr>
        <w:tab/>
        <w:t>Dans les États et Territoires insulaires océaniens du nord, le nombre de médecins locaux diminue ou augmente très lentement par rapport aux États et Territoires insulaires océaniens du sud en raison du faible nombre d’étudiants de ces pays qui remplissent les conditions d’accès aux études ou qui obtiennent un diplôme de médecine.</w:t>
      </w:r>
    </w:p>
    <w:p w14:paraId="561A9C4F"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55EB5E1C"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d)</w:t>
      </w:r>
      <w:r w:rsidRPr="00AD6E17">
        <w:rPr>
          <w:rFonts w:ascii="Times New Roman" w:hAnsi="Times New Roman" w:cs="Times New Roman"/>
          <w:lang w:val="fr-FR"/>
        </w:rPr>
        <w:tab/>
        <w:t>Lors de la réunion des directeurs de la santé en 2019, l’Université nationale des Fidji a fait remarquer que les pays ne transmettaient pas assez d’informations sur leurs besoins en formations sanitaires, alors que cela permettrait de mettre sur pied de nouveaux programmes de cours pour répondre à la demande en formations médicales.</w:t>
      </w:r>
    </w:p>
    <w:p w14:paraId="41864917"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57AEC6EE"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e)</w:t>
      </w:r>
      <w:r w:rsidRPr="00AD6E17">
        <w:rPr>
          <w:rFonts w:ascii="Times New Roman" w:hAnsi="Times New Roman" w:cs="Times New Roman"/>
          <w:lang w:val="fr-FR"/>
        </w:rPr>
        <w:tab/>
        <w:t xml:space="preserve">Alors que de nombreux États et Territoires insulaires océaniens ont besoin d’assurer la prestation de services de santé dans des régions reculées, il n’existe actuellement pas assez de possibilités de formation afin que les médecins acquièrent les connaissances et les compétences nécessaires pour prodiguer des soins de qualité, sûrs et adaptés aux communautés rurales ou reculées. </w:t>
      </w:r>
    </w:p>
    <w:p w14:paraId="67126E8D"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49280C1C" w14:textId="60B16079" w:rsidR="00AD6E17" w:rsidRPr="00AD6E17" w:rsidRDefault="00FF1C02" w:rsidP="00AD6E17">
      <w:pPr>
        <w:widowControl w:val="0"/>
        <w:spacing w:after="0" w:line="360" w:lineRule="auto"/>
        <w:ind w:left="567" w:hanging="567"/>
        <w:jc w:val="both"/>
        <w:rPr>
          <w:rFonts w:ascii="Times New Roman" w:hAnsi="Times New Roman" w:cs="Times New Roman"/>
          <w:lang w:val="fr-FR"/>
        </w:rPr>
      </w:pPr>
      <w:r>
        <w:rPr>
          <w:rFonts w:ascii="Times New Roman" w:hAnsi="Times New Roman" w:cs="Times New Roman"/>
          <w:lang w:val="fr-FR"/>
        </w:rPr>
        <w:t>f</w:t>
      </w:r>
      <w:r w:rsidR="00AD6E17" w:rsidRPr="00AD6E17">
        <w:rPr>
          <w:rFonts w:ascii="Times New Roman" w:hAnsi="Times New Roman" w:cs="Times New Roman"/>
          <w:lang w:val="fr-FR"/>
        </w:rPr>
        <w:t>)</w:t>
      </w:r>
      <w:r w:rsidR="00AD6E17" w:rsidRPr="00AD6E17">
        <w:rPr>
          <w:rFonts w:ascii="Times New Roman" w:hAnsi="Times New Roman" w:cs="Times New Roman"/>
          <w:lang w:val="fr-FR"/>
        </w:rPr>
        <w:tab/>
        <w:t xml:space="preserve">Certes, les États et Territoires insulaires océaniens ont mis en place des programmes d’internat </w:t>
      </w:r>
      <w:r w:rsidR="00AD6E17" w:rsidRPr="00AD6E17">
        <w:rPr>
          <w:rFonts w:ascii="Times New Roman" w:hAnsi="Times New Roman" w:cs="Times New Roman"/>
          <w:lang w:val="fr-FR"/>
        </w:rPr>
        <w:lastRenderedPageBreak/>
        <w:t>spéciaux afin de mieux intégrer les médecins diplômés à l’étranger, mais il n’existe aucune voie habilitante/préparatoire pour leur permettre de réussir après avoir terminé leurs études supérieures/leur formation de spécialisation.</w:t>
      </w:r>
    </w:p>
    <w:p w14:paraId="206575CD"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6F64F4F7"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L’enquête ne portait pas sur les autres agents de santé prenant part aux activités des services cliniques dans les États et Territoires insulaires océaniens, et il sera important d’inclure ces catégories d’agents dans la prochaine phase des travaux.</w:t>
      </w:r>
    </w:p>
    <w:p w14:paraId="0F168A1D"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6EBD410A" w14:textId="77777777" w:rsidR="00AD6E17" w:rsidRPr="00AD6E17" w:rsidRDefault="00AD6E17" w:rsidP="00AD6E17">
      <w:pPr>
        <w:widowControl w:val="0"/>
        <w:spacing w:after="0" w:line="360" w:lineRule="auto"/>
        <w:jc w:val="both"/>
        <w:rPr>
          <w:rFonts w:ascii="Times New Roman" w:hAnsi="Times New Roman" w:cs="Times New Roman"/>
          <w:b/>
          <w:lang w:val="fr-FR"/>
        </w:rPr>
      </w:pPr>
      <w:r w:rsidRPr="00AD6E17">
        <w:rPr>
          <w:rFonts w:ascii="Times New Roman" w:hAnsi="Times New Roman" w:cs="Times New Roman"/>
          <w:b/>
          <w:lang w:val="fr-FR"/>
        </w:rPr>
        <w:t>3.2</w:t>
      </w:r>
      <w:r w:rsidRPr="00AD6E17">
        <w:rPr>
          <w:rFonts w:ascii="Times New Roman" w:hAnsi="Times New Roman" w:cs="Times New Roman"/>
          <w:b/>
          <w:lang w:val="fr-FR"/>
        </w:rPr>
        <w:tab/>
        <w:t xml:space="preserve">Médecins océaniens menant des activités dans le domaine de la santé publique et des travaux de gestion </w:t>
      </w:r>
    </w:p>
    <w:p w14:paraId="6D7519E9"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406FF475"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L’enquête a mis en lumière l’hétérogénéité des définitions du concept de médecin de santé publique dans la région. Dans certains pays, le terme « médecin de santé publique » désigne tous les médecins travaillant en dehors des grands hôpitaux même s’ils exercent principalement, voire exclusivement, la médecine clinique. Les médecins des établissements de santé de taille plus modeste et des plus petits pays qui effectuent effectivement des tâches de santé publique sont nombreux à ne pas avoir été formés dans ce domaine. D’autres pays réservent le titre de « médecin de santé publique » aux seuls médecins travaillant dans des programmes ou des domaines portant sur la santé publique à l’échelle nationale, par exemple la surveillance des maladies et la lutte contre celles-ci, la santé sexuelle et reproductive, les politiques sanitaires et la gestion de la santé.</w:t>
      </w:r>
    </w:p>
    <w:p w14:paraId="22020D3D"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43C2A3BE"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Alors que la plupart des fonctions relevant de la santé publique sont menées à bien dans les pays par des catégories d’agents de santé autres que les médecins, ces catégories n’ont pas été prises en compte dans l’enquête, ce qui aurait permis d’obtenir des indications sur les ressources humaines disponibles dans les pays pour gérer les fonctions essentielles relevant de la santé publique. Reconnaissant que tous les systèmes de santé océaniens sont principalement fondés sur les soins de santé primaires, le présent document révèle qu’il est nécessaire d’élargir le champ de l’enquête afin de couvrir les profils des personnels de santé de toute la région chargés de gérer le système de santé publique et de soins de santé primaires au sens plus large. Cela permettra d’obtenir une bonne vue d’ensemble de la capacité des ressources humaines de chaque pays à gérer efficacement un système de santé publique fondé sur les principes des soins de santé primaires.</w:t>
      </w:r>
    </w:p>
    <w:p w14:paraId="1D108DE9" w14:textId="6B1F4976" w:rsidR="00AD6E17" w:rsidRDefault="00AD6E17" w:rsidP="00AD6E17">
      <w:pPr>
        <w:widowControl w:val="0"/>
        <w:spacing w:after="0" w:line="360" w:lineRule="auto"/>
        <w:jc w:val="both"/>
        <w:rPr>
          <w:rFonts w:ascii="Times New Roman" w:hAnsi="Times New Roman" w:cs="Times New Roman"/>
          <w:lang w:val="fr-FR"/>
        </w:rPr>
      </w:pPr>
    </w:p>
    <w:p w14:paraId="2A521E0B" w14:textId="77777777" w:rsidR="0085473E" w:rsidRPr="00AD6E17" w:rsidRDefault="0085473E" w:rsidP="00AD6E17">
      <w:pPr>
        <w:widowControl w:val="0"/>
        <w:spacing w:after="0" w:line="360" w:lineRule="auto"/>
        <w:jc w:val="both"/>
        <w:rPr>
          <w:rFonts w:ascii="Times New Roman" w:hAnsi="Times New Roman" w:cs="Times New Roman"/>
          <w:lang w:val="fr-FR"/>
        </w:rPr>
      </w:pPr>
    </w:p>
    <w:p w14:paraId="1F20EDFA" w14:textId="77777777" w:rsidR="00AD6E17" w:rsidRPr="00AD6E17" w:rsidRDefault="00AD6E17" w:rsidP="00AD6E17">
      <w:pPr>
        <w:widowControl w:val="0"/>
        <w:spacing w:after="0" w:line="360" w:lineRule="auto"/>
        <w:jc w:val="center"/>
        <w:rPr>
          <w:rFonts w:ascii="Times New Roman" w:hAnsi="Times New Roman" w:cs="Times New Roman"/>
          <w:b/>
          <w:lang w:val="fr-FR"/>
        </w:rPr>
      </w:pPr>
      <w:r w:rsidRPr="00AD6E17">
        <w:rPr>
          <w:rFonts w:ascii="Times New Roman" w:hAnsi="Times New Roman" w:cs="Times New Roman"/>
          <w:b/>
          <w:lang w:val="fr-FR"/>
        </w:rPr>
        <w:t>4.</w:t>
      </w:r>
      <w:r w:rsidRPr="00AD6E17">
        <w:rPr>
          <w:rFonts w:ascii="Times New Roman" w:hAnsi="Times New Roman" w:cs="Times New Roman"/>
          <w:b/>
          <w:lang w:val="fr-FR"/>
        </w:rPr>
        <w:tab/>
        <w:t>ORIENTATIONS FUTURES</w:t>
      </w:r>
    </w:p>
    <w:p w14:paraId="4D564A7D"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02747FDF" w14:textId="77777777" w:rsidR="00AD6E17" w:rsidRPr="00AD6E17" w:rsidRDefault="00AD6E17" w:rsidP="00AD6E17">
      <w:pPr>
        <w:widowControl w:val="0"/>
        <w:spacing w:after="0" w:line="360" w:lineRule="auto"/>
        <w:jc w:val="both"/>
        <w:rPr>
          <w:rFonts w:ascii="Times New Roman" w:hAnsi="Times New Roman" w:cs="Times New Roman"/>
          <w:b/>
          <w:lang w:val="fr-FR"/>
        </w:rPr>
      </w:pPr>
      <w:r w:rsidRPr="00AD6E17">
        <w:rPr>
          <w:rFonts w:ascii="Times New Roman" w:hAnsi="Times New Roman" w:cs="Times New Roman"/>
          <w:b/>
          <w:lang w:val="fr-FR"/>
        </w:rPr>
        <w:t>4.1</w:t>
      </w:r>
      <w:r w:rsidRPr="00AD6E17">
        <w:rPr>
          <w:rFonts w:ascii="Times New Roman" w:hAnsi="Times New Roman" w:cs="Times New Roman"/>
          <w:b/>
          <w:lang w:val="fr-FR"/>
        </w:rPr>
        <w:tab/>
        <w:t>Recommandations à l’intention des gouvernements</w:t>
      </w:r>
    </w:p>
    <w:p w14:paraId="4A5A350D"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01B1FF8E"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Les directeurs de la santé sont invités à :</w:t>
      </w:r>
    </w:p>
    <w:p w14:paraId="24A5AE2C"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0317A1B0"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a)</w:t>
      </w:r>
      <w:r w:rsidRPr="00AD6E17">
        <w:rPr>
          <w:rFonts w:ascii="Times New Roman" w:hAnsi="Times New Roman" w:cs="Times New Roman"/>
          <w:lang w:val="fr-FR"/>
        </w:rPr>
        <w:tab/>
        <w:t>se mettre d’accord sur la nécessité d’adopter une définition commune pour le concept de « médecin de santé publique », ainsi que de définir les catégories d’agents de santé et les effectifs minimum nécessaires pour gérer les fonctions essentielles relevant de la santé publique dans chaque pays ;</w:t>
      </w:r>
    </w:p>
    <w:p w14:paraId="3CA27CEF"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409FA5CF"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b)</w:t>
      </w:r>
      <w:r w:rsidRPr="00AD6E17">
        <w:rPr>
          <w:rFonts w:ascii="Times New Roman" w:hAnsi="Times New Roman" w:cs="Times New Roman"/>
          <w:lang w:val="fr-FR"/>
        </w:rPr>
        <w:tab/>
        <w:t>utiliser les données présentées dans le présent document et d’autres exercices de cartographie des effectifs pour renforcer la cohérence entre la formation (bourses d’études/de perfectionnement) et les lacunes réelles en matière de personnels de santé ;</w:t>
      </w:r>
    </w:p>
    <w:p w14:paraId="47A8BD88"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2F7BE140"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c)</w:t>
      </w:r>
      <w:r w:rsidRPr="00AD6E17">
        <w:rPr>
          <w:rFonts w:ascii="Times New Roman" w:hAnsi="Times New Roman" w:cs="Times New Roman"/>
          <w:lang w:val="fr-FR"/>
        </w:rPr>
        <w:tab/>
        <w:t>élaborer des filières habilitantes afin de mieux préparer les médecins diplômés formés à l’étranger aux études supérieures/formations de spécialisation ;</w:t>
      </w:r>
    </w:p>
    <w:p w14:paraId="3E7D1BBB"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609DB9B6"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d)</w:t>
      </w:r>
      <w:r w:rsidRPr="00AD6E17">
        <w:rPr>
          <w:rFonts w:ascii="Times New Roman" w:hAnsi="Times New Roman" w:cs="Times New Roman"/>
          <w:lang w:val="fr-FR"/>
        </w:rPr>
        <w:tab/>
        <w:t>communiquer leurs besoins en matière de personnels de santé et leurs priorités en matière de formation aux principaux établissements de formation de la région ;</w:t>
      </w:r>
    </w:p>
    <w:p w14:paraId="1DEA60B9"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438D585F"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e)</w:t>
      </w:r>
      <w:r w:rsidRPr="00AD6E17">
        <w:rPr>
          <w:rFonts w:ascii="Times New Roman" w:hAnsi="Times New Roman" w:cs="Times New Roman"/>
          <w:lang w:val="fr-FR"/>
        </w:rPr>
        <w:tab/>
        <w:t xml:space="preserve">mettre en place des stratégies et des politiques efficaces de fidélisation des personnels de santé. </w:t>
      </w:r>
    </w:p>
    <w:p w14:paraId="20841313"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05DC7C39"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769652A6" w14:textId="77777777" w:rsidR="00AD6E17" w:rsidRPr="00AD6E17" w:rsidRDefault="00AD6E17" w:rsidP="00AD6E17">
      <w:pPr>
        <w:widowControl w:val="0"/>
        <w:spacing w:after="0" w:line="360" w:lineRule="auto"/>
        <w:jc w:val="both"/>
        <w:rPr>
          <w:rFonts w:ascii="Times New Roman" w:hAnsi="Times New Roman" w:cs="Times New Roman"/>
          <w:b/>
          <w:lang w:val="fr-FR"/>
        </w:rPr>
      </w:pPr>
      <w:r w:rsidRPr="00AD6E17">
        <w:rPr>
          <w:rFonts w:ascii="Times New Roman" w:hAnsi="Times New Roman" w:cs="Times New Roman"/>
          <w:b/>
          <w:lang w:val="fr-FR"/>
        </w:rPr>
        <w:t>4.2</w:t>
      </w:r>
      <w:r w:rsidRPr="00AD6E17">
        <w:rPr>
          <w:rFonts w:ascii="Times New Roman" w:hAnsi="Times New Roman" w:cs="Times New Roman"/>
          <w:b/>
          <w:lang w:val="fr-FR"/>
        </w:rPr>
        <w:tab/>
        <w:t>Recommandations à l’intention des partenaires du développement</w:t>
      </w:r>
    </w:p>
    <w:p w14:paraId="7FED9021"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57BF3C7F" w14:textId="77777777" w:rsidR="00AD6E17" w:rsidRPr="00AD6E17" w:rsidRDefault="00AD6E17" w:rsidP="00AD6E17">
      <w:pPr>
        <w:widowControl w:val="0"/>
        <w:spacing w:after="0" w:line="360" w:lineRule="auto"/>
        <w:jc w:val="both"/>
        <w:rPr>
          <w:rFonts w:ascii="Times New Roman" w:hAnsi="Times New Roman" w:cs="Times New Roman"/>
          <w:lang w:val="fr-FR"/>
        </w:rPr>
      </w:pPr>
      <w:r w:rsidRPr="00AD6E17">
        <w:rPr>
          <w:rFonts w:ascii="Times New Roman" w:hAnsi="Times New Roman" w:cs="Times New Roman"/>
          <w:lang w:val="fr-FR"/>
        </w:rPr>
        <w:t>Les partenaires du développement pourraient :</w:t>
      </w:r>
    </w:p>
    <w:p w14:paraId="5E80AD60"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09882288"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a)</w:t>
      </w:r>
      <w:r w:rsidRPr="00AD6E17">
        <w:rPr>
          <w:rFonts w:ascii="Times New Roman" w:hAnsi="Times New Roman" w:cs="Times New Roman"/>
          <w:lang w:val="fr-FR"/>
        </w:rPr>
        <w:tab/>
        <w:t>s’appuyer sur l’enquête relative aux personnels médicaux menée par le Secrétariat et l’élargir afin d’inclure les personnels de santé dans leur ensemble ;</w:t>
      </w:r>
    </w:p>
    <w:p w14:paraId="46A1690A"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39476FDD"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b)</w:t>
      </w:r>
      <w:r w:rsidRPr="00AD6E17">
        <w:rPr>
          <w:rFonts w:ascii="Times New Roman" w:hAnsi="Times New Roman" w:cs="Times New Roman"/>
          <w:lang w:val="fr-FR"/>
        </w:rPr>
        <w:tab/>
        <w:t>collaborer avec les États et Territoires insulaires océaniens afin de mettre sur pied un observatoire régional des ressources humaines pour la santé qui permettrait de recueillir, d’analyser et de partager plus facilement les informations en la matière dans les États et Territoires insulaires océaniens ;</w:t>
      </w:r>
    </w:p>
    <w:p w14:paraId="049B32DA"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50FA8633"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c)</w:t>
      </w:r>
      <w:r w:rsidRPr="00AD6E17">
        <w:rPr>
          <w:rFonts w:ascii="Times New Roman" w:hAnsi="Times New Roman" w:cs="Times New Roman"/>
          <w:lang w:val="fr-FR"/>
        </w:rPr>
        <w:tab/>
        <w:t xml:space="preserve">être plus attentifs aux besoins de formation et aux possibilités d’évolution de carrière des </w:t>
      </w:r>
      <w:r w:rsidRPr="00AD6E17">
        <w:rPr>
          <w:rFonts w:ascii="Times New Roman" w:hAnsi="Times New Roman" w:cs="Times New Roman"/>
          <w:lang w:val="fr-FR"/>
        </w:rPr>
        <w:lastRenderedPageBreak/>
        <w:t>médecins isolés</w:t>
      </w:r>
      <w:r w:rsidRPr="00AD6E17">
        <w:rPr>
          <w:rStyle w:val="FootnoteReference"/>
          <w:rFonts w:ascii="Times New Roman" w:hAnsi="Times New Roman" w:cs="Times New Roman"/>
          <w:lang w:val="fr-FR"/>
        </w:rPr>
        <w:footnoteReference w:id="3"/>
      </w:r>
      <w:r w:rsidRPr="00AD6E17">
        <w:rPr>
          <w:rFonts w:ascii="Times New Roman" w:hAnsi="Times New Roman" w:cs="Times New Roman"/>
          <w:lang w:val="fr-FR"/>
        </w:rPr>
        <w:t> ;</w:t>
      </w:r>
    </w:p>
    <w:p w14:paraId="35FB246D"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7EB13186"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d)</w:t>
      </w:r>
      <w:r w:rsidRPr="00AD6E17">
        <w:rPr>
          <w:rFonts w:ascii="Times New Roman" w:hAnsi="Times New Roman" w:cs="Times New Roman"/>
          <w:lang w:val="fr-FR"/>
        </w:rPr>
        <w:tab/>
        <w:t>élaborer des filières innovantes et habilitantes pour les pays dont les diplômés du secondaire ont des difficultés à commencer ou à terminer les études de médecine ;</w:t>
      </w:r>
    </w:p>
    <w:p w14:paraId="6EC5F044"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p>
    <w:p w14:paraId="3A9F5405" w14:textId="77777777" w:rsidR="00AD6E17" w:rsidRPr="00AD6E17" w:rsidRDefault="00AD6E17" w:rsidP="00AD6E17">
      <w:pPr>
        <w:widowControl w:val="0"/>
        <w:spacing w:after="0" w:line="360" w:lineRule="auto"/>
        <w:ind w:left="567" w:hanging="567"/>
        <w:jc w:val="both"/>
        <w:rPr>
          <w:rFonts w:ascii="Times New Roman" w:hAnsi="Times New Roman" w:cs="Times New Roman"/>
          <w:lang w:val="fr-FR"/>
        </w:rPr>
      </w:pPr>
      <w:r w:rsidRPr="00AD6E17">
        <w:rPr>
          <w:rFonts w:ascii="Times New Roman" w:hAnsi="Times New Roman" w:cs="Times New Roman"/>
          <w:lang w:val="fr-FR"/>
        </w:rPr>
        <w:t>e)</w:t>
      </w:r>
      <w:r w:rsidRPr="00AD6E17">
        <w:rPr>
          <w:rFonts w:ascii="Times New Roman" w:hAnsi="Times New Roman" w:cs="Times New Roman"/>
          <w:lang w:val="fr-FR"/>
        </w:rPr>
        <w:tab/>
        <w:t>aider les États et Territoires insulaires océaniens à répondre à leurs besoins en matière de personnels de santé en corrigeant le déséquilibre entre l’offre et la demande de bourses.</w:t>
      </w:r>
    </w:p>
    <w:p w14:paraId="0D670C47" w14:textId="77777777" w:rsidR="00AD6E17" w:rsidRPr="00AD6E17" w:rsidRDefault="00AD6E17" w:rsidP="00AD6E17">
      <w:pPr>
        <w:widowControl w:val="0"/>
        <w:spacing w:after="0" w:line="360" w:lineRule="auto"/>
        <w:jc w:val="both"/>
        <w:rPr>
          <w:rFonts w:ascii="Times New Roman" w:hAnsi="Times New Roman" w:cs="Times New Roman"/>
          <w:lang w:val="fr-FR"/>
        </w:rPr>
      </w:pPr>
    </w:p>
    <w:p w14:paraId="454EA5B5" w14:textId="77777777" w:rsidR="00A4071F" w:rsidRPr="00AD6E17" w:rsidRDefault="00A4071F" w:rsidP="00AD6E17">
      <w:pPr>
        <w:spacing w:after="0" w:line="360" w:lineRule="auto"/>
        <w:rPr>
          <w:rFonts w:ascii="Times New Roman" w:eastAsia="Malgun Gothic" w:hAnsi="Times New Roman" w:cs="Times New Roman"/>
          <w:b/>
          <w:bCs/>
          <w:lang w:val="fr-FR" w:eastAsia="ko-KR"/>
        </w:rPr>
      </w:pPr>
    </w:p>
    <w:sectPr w:rsidR="00A4071F" w:rsidRPr="00AD6E17" w:rsidSect="00045844">
      <w:headerReference w:type="even" r:id="rId22"/>
      <w:headerReference w:type="default" r:id="rId23"/>
      <w:headerReference w:type="first" r:id="rId24"/>
      <w:footerReference w:type="first" r:id="rId25"/>
      <w:pgSz w:w="11907" w:h="16839" w:code="9"/>
      <w:pgMar w:top="72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3DCF9D" w14:textId="77777777" w:rsidR="00C826AB" w:rsidRDefault="00C826AB" w:rsidP="00DC6979">
      <w:pPr>
        <w:spacing w:after="0" w:line="240" w:lineRule="auto"/>
      </w:pPr>
      <w:r>
        <w:separator/>
      </w:r>
    </w:p>
  </w:endnote>
  <w:endnote w:type="continuationSeparator" w:id="0">
    <w:p w14:paraId="0981FDC8" w14:textId="77777777" w:rsidR="00C826AB" w:rsidRDefault="00C826AB" w:rsidP="00DC69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yriadPro-SemiCn">
    <w:altName w:val="MV Boli"/>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91DE" w14:textId="77777777" w:rsidR="00D04BAE" w:rsidRDefault="00D04BAE" w:rsidP="00BD60F7">
    <w:pPr>
      <w:pStyle w:val="Footer"/>
      <w:pBdr>
        <w:top w:val="single" w:sz="4" w:space="1" w:color="D9D9D9" w:themeColor="background1" w:themeShade="D9"/>
      </w:pBdr>
      <w:rPr>
        <w:b/>
        <w:bCs/>
      </w:rPr>
    </w:pPr>
  </w:p>
  <w:p w14:paraId="7F97EBB4" w14:textId="77777777" w:rsidR="00D04BAE" w:rsidRDefault="00D04B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F00EC5" w14:textId="77777777" w:rsidR="00C826AB" w:rsidRDefault="00C826AB" w:rsidP="00DC6979">
      <w:pPr>
        <w:spacing w:after="0" w:line="240" w:lineRule="auto"/>
      </w:pPr>
      <w:r>
        <w:separator/>
      </w:r>
    </w:p>
  </w:footnote>
  <w:footnote w:type="continuationSeparator" w:id="0">
    <w:p w14:paraId="6E7AF5D8" w14:textId="77777777" w:rsidR="00C826AB" w:rsidRDefault="00C826AB" w:rsidP="00DC6979">
      <w:pPr>
        <w:spacing w:after="0" w:line="240" w:lineRule="auto"/>
      </w:pPr>
      <w:r>
        <w:continuationSeparator/>
      </w:r>
    </w:p>
  </w:footnote>
  <w:footnote w:id="1">
    <w:p w14:paraId="3E764B27" w14:textId="14AA4619" w:rsidR="00082493" w:rsidRPr="00082493" w:rsidRDefault="00082493">
      <w:pPr>
        <w:pStyle w:val="FootnoteText"/>
        <w:rPr>
          <w:lang w:val="fr-FR"/>
        </w:rPr>
      </w:pPr>
      <w:r>
        <w:rPr>
          <w:rStyle w:val="FootnoteReference"/>
        </w:rPr>
        <w:footnoteRef/>
      </w:r>
      <w:r w:rsidRPr="00082493">
        <w:rPr>
          <w:lang w:val="fr-FR"/>
        </w:rPr>
        <w:t xml:space="preserve"> </w:t>
      </w:r>
      <w:r>
        <w:rPr>
          <w:lang w:val="fr-FR"/>
        </w:rPr>
        <w:t>Diplôme d’études supérieures, maste</w:t>
      </w:r>
      <w:r w:rsidR="00D35BF4">
        <w:rPr>
          <w:lang w:val="fr-FR"/>
        </w:rPr>
        <w:t>r</w:t>
      </w:r>
      <w:r>
        <w:rPr>
          <w:lang w:val="fr-FR"/>
        </w:rPr>
        <w:t xml:space="preserve"> en médecine ou doctorat/post-doctorat dans toute spécialité clinique</w:t>
      </w:r>
    </w:p>
  </w:footnote>
  <w:footnote w:id="2">
    <w:p w14:paraId="0953943D" w14:textId="77777777" w:rsidR="00AD6E17" w:rsidRPr="00AD6E17" w:rsidRDefault="00AD6E17" w:rsidP="00AD6E17">
      <w:pPr>
        <w:pStyle w:val="FootnoteText"/>
        <w:jc w:val="both"/>
        <w:rPr>
          <w:rFonts w:ascii="Times New Roman" w:hAnsi="Times New Roman" w:cs="Times New Roman"/>
          <w:lang w:val="fr-FR"/>
        </w:rPr>
      </w:pPr>
      <w:r w:rsidRPr="00AD6E17">
        <w:rPr>
          <w:rStyle w:val="FootnoteReference"/>
          <w:rFonts w:ascii="Times New Roman" w:hAnsi="Times New Roman" w:cs="Times New Roman"/>
          <w:lang w:val="fr-FR"/>
        </w:rPr>
        <w:footnoteRef/>
      </w:r>
      <w:r w:rsidRPr="00AD6E17">
        <w:rPr>
          <w:rFonts w:ascii="Times New Roman" w:hAnsi="Times New Roman" w:cs="Times New Roman"/>
          <w:lang w:val="fr-FR"/>
        </w:rPr>
        <w:t xml:space="preserve"> Les pays seront également invités pendant la réunion à évoquer les principaux obstacles qui se dressent devant eux à l’heure de combler leurs lacunes en matière de personnels médicaux.</w:t>
      </w:r>
    </w:p>
  </w:footnote>
  <w:footnote w:id="3">
    <w:p w14:paraId="666A926B" w14:textId="77777777" w:rsidR="00AD6E17" w:rsidRPr="00AD6E17" w:rsidRDefault="00AD6E17" w:rsidP="00AD6E17">
      <w:pPr>
        <w:pStyle w:val="FootnoteText"/>
        <w:jc w:val="both"/>
        <w:rPr>
          <w:rFonts w:ascii="Times New Roman" w:hAnsi="Times New Roman" w:cs="Times New Roman"/>
          <w:lang w:val="fr-FR"/>
        </w:rPr>
      </w:pPr>
      <w:r w:rsidRPr="00AD6E17">
        <w:rPr>
          <w:rStyle w:val="FootnoteReference"/>
          <w:rFonts w:ascii="Times New Roman" w:hAnsi="Times New Roman" w:cs="Times New Roman"/>
          <w:lang w:val="fr-FR"/>
        </w:rPr>
        <w:footnoteRef/>
      </w:r>
      <w:r w:rsidRPr="00AD6E17">
        <w:rPr>
          <w:rFonts w:ascii="Times New Roman" w:hAnsi="Times New Roman" w:cs="Times New Roman"/>
          <w:lang w:val="fr-FR"/>
        </w:rPr>
        <w:t xml:space="preserve"> Par exemple, offrir des possibilités de formation supplémentaires aux chirurgiens concernant les soins obstétriques d’urgence (y compris les césariennes), homologuées d’une façon ou d’une autre.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138A35" w14:textId="36736C7F" w:rsidR="006B5665" w:rsidRDefault="00045844" w:rsidP="00BD60F7">
    <w:pPr>
      <w:pStyle w:val="Header"/>
      <w:rPr>
        <w:rFonts w:asciiTheme="majorBidi" w:hAnsiTheme="majorBidi" w:cstheme="majorBidi"/>
        <w:b/>
        <w:bCs/>
      </w:rPr>
    </w:pPr>
    <w:r>
      <w:rPr>
        <w:rFonts w:asciiTheme="majorBidi" w:hAnsiTheme="majorBidi" w:cstheme="majorBidi"/>
        <w:b/>
        <w:bCs/>
      </w:rPr>
      <w:t>PIC13/S7/2</w:t>
    </w:r>
  </w:p>
  <w:p w14:paraId="1D51FEB2" w14:textId="651345A9" w:rsidR="00D04BAE" w:rsidRDefault="00D04BAE" w:rsidP="00BD60F7">
    <w:pPr>
      <w:pStyle w:val="Header"/>
      <w:rPr>
        <w:rFonts w:asciiTheme="majorBidi" w:hAnsiTheme="majorBidi" w:cstheme="majorBidi"/>
        <w:b/>
        <w:bCs/>
        <w:noProof/>
      </w:rPr>
    </w:pPr>
    <w:r w:rsidRPr="007608DB">
      <w:rPr>
        <w:rFonts w:asciiTheme="majorBidi" w:hAnsiTheme="majorBidi" w:cstheme="majorBidi"/>
        <w:b/>
        <w:bCs/>
      </w:rPr>
      <w:t xml:space="preserve">page </w:t>
    </w:r>
    <w:r w:rsidRPr="007608DB">
      <w:rPr>
        <w:rFonts w:asciiTheme="majorBidi" w:hAnsiTheme="majorBidi" w:cstheme="majorBidi"/>
        <w:b/>
        <w:bCs/>
      </w:rPr>
      <w:fldChar w:fldCharType="begin"/>
    </w:r>
    <w:r w:rsidRPr="007608DB">
      <w:rPr>
        <w:rFonts w:asciiTheme="majorBidi" w:hAnsiTheme="majorBidi" w:cstheme="majorBidi"/>
        <w:b/>
        <w:bCs/>
      </w:rPr>
      <w:instrText xml:space="preserve"> PAGE   \* MERGEFORMAT </w:instrText>
    </w:r>
    <w:r w:rsidRPr="007608DB">
      <w:rPr>
        <w:rFonts w:asciiTheme="majorBidi" w:hAnsiTheme="majorBidi" w:cstheme="majorBidi"/>
        <w:b/>
        <w:bCs/>
      </w:rPr>
      <w:fldChar w:fldCharType="separate"/>
    </w:r>
    <w:r w:rsidR="00045844">
      <w:rPr>
        <w:rFonts w:asciiTheme="majorBidi" w:hAnsiTheme="majorBidi" w:cstheme="majorBidi"/>
        <w:b/>
        <w:bCs/>
        <w:noProof/>
      </w:rPr>
      <w:t>2</w:t>
    </w:r>
    <w:r w:rsidRPr="007608DB">
      <w:rPr>
        <w:rFonts w:asciiTheme="majorBidi" w:hAnsiTheme="majorBidi" w:cstheme="majorBidi"/>
        <w:b/>
        <w:bCs/>
        <w:noProof/>
      </w:rPr>
      <w:fldChar w:fldCharType="end"/>
    </w:r>
  </w:p>
  <w:p w14:paraId="6DA4A8FC" w14:textId="77777777" w:rsidR="00D04BAE" w:rsidRDefault="00D04BAE" w:rsidP="00BD60F7">
    <w:pPr>
      <w:pStyle w:val="Header"/>
      <w:rPr>
        <w:rFonts w:asciiTheme="majorBidi" w:hAnsiTheme="majorBidi" w:cstheme="majorBidi"/>
        <w:b/>
        <w:bCs/>
        <w:noProof/>
      </w:rPr>
    </w:pPr>
  </w:p>
  <w:p w14:paraId="60F3BFD5" w14:textId="77777777" w:rsidR="00D04BAE" w:rsidRPr="007608DB" w:rsidRDefault="00D04BAE" w:rsidP="00BD60F7">
    <w:pPr>
      <w:pStyle w:val="Header"/>
      <w:rPr>
        <w:rFonts w:asciiTheme="majorBidi" w:hAnsiTheme="majorBidi" w:cstheme="majorBidi"/>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35B52A" w14:textId="1391AFFC" w:rsidR="006B5665" w:rsidRDefault="00555F56" w:rsidP="00BD60F7">
    <w:pPr>
      <w:pStyle w:val="Header"/>
      <w:jc w:val="right"/>
      <w:rPr>
        <w:rFonts w:asciiTheme="majorBidi" w:hAnsiTheme="majorBidi" w:cstheme="majorBidi"/>
        <w:b/>
        <w:bCs/>
      </w:rPr>
    </w:pPr>
    <w:r>
      <w:rPr>
        <w:rFonts w:asciiTheme="majorBidi" w:hAnsiTheme="majorBidi" w:cstheme="majorBidi"/>
        <w:b/>
        <w:bCs/>
      </w:rPr>
      <w:t>PIC13/S7/2</w:t>
    </w:r>
  </w:p>
  <w:p w14:paraId="39308202" w14:textId="3426CE99" w:rsidR="00D04BAE" w:rsidRDefault="00D04BAE" w:rsidP="00BD60F7">
    <w:pPr>
      <w:pStyle w:val="Header"/>
      <w:jc w:val="right"/>
      <w:rPr>
        <w:rFonts w:asciiTheme="majorBidi" w:hAnsiTheme="majorBidi" w:cstheme="majorBidi"/>
        <w:b/>
        <w:bCs/>
        <w:noProof/>
      </w:rPr>
    </w:pPr>
    <w:r>
      <w:rPr>
        <w:rFonts w:asciiTheme="majorBidi" w:hAnsiTheme="majorBidi" w:cstheme="majorBidi"/>
        <w:b/>
        <w:bCs/>
      </w:rPr>
      <w:t>p</w:t>
    </w:r>
    <w:r w:rsidRPr="007608DB">
      <w:rPr>
        <w:rFonts w:asciiTheme="majorBidi" w:hAnsiTheme="majorBidi" w:cstheme="majorBidi"/>
        <w:b/>
        <w:bCs/>
      </w:rPr>
      <w:t xml:space="preserve">age </w:t>
    </w:r>
    <w:r w:rsidRPr="007608DB">
      <w:rPr>
        <w:rFonts w:asciiTheme="majorBidi" w:hAnsiTheme="majorBidi" w:cstheme="majorBidi"/>
        <w:b/>
        <w:bCs/>
      </w:rPr>
      <w:fldChar w:fldCharType="begin"/>
    </w:r>
    <w:r w:rsidRPr="007608DB">
      <w:rPr>
        <w:rFonts w:asciiTheme="majorBidi" w:hAnsiTheme="majorBidi" w:cstheme="majorBidi"/>
        <w:b/>
        <w:bCs/>
      </w:rPr>
      <w:instrText xml:space="preserve"> PAGE   \* MERGEFORMAT </w:instrText>
    </w:r>
    <w:r w:rsidRPr="007608DB">
      <w:rPr>
        <w:rFonts w:asciiTheme="majorBidi" w:hAnsiTheme="majorBidi" w:cstheme="majorBidi"/>
        <w:b/>
        <w:bCs/>
      </w:rPr>
      <w:fldChar w:fldCharType="separate"/>
    </w:r>
    <w:r w:rsidR="00555F56">
      <w:rPr>
        <w:rFonts w:asciiTheme="majorBidi" w:hAnsiTheme="majorBidi" w:cstheme="majorBidi"/>
        <w:b/>
        <w:bCs/>
        <w:noProof/>
      </w:rPr>
      <w:t>2</w:t>
    </w:r>
    <w:r w:rsidRPr="007608DB">
      <w:rPr>
        <w:rFonts w:asciiTheme="majorBidi" w:hAnsiTheme="majorBidi" w:cstheme="majorBidi"/>
        <w:b/>
        <w:bCs/>
        <w:noProof/>
      </w:rPr>
      <w:fldChar w:fldCharType="end"/>
    </w:r>
  </w:p>
  <w:p w14:paraId="14F8661E" w14:textId="77777777" w:rsidR="00D04BAE" w:rsidRDefault="00D04BAE" w:rsidP="00BD60F7">
    <w:pPr>
      <w:pStyle w:val="Header"/>
      <w:jc w:val="right"/>
      <w:rPr>
        <w:rFonts w:asciiTheme="majorBidi" w:hAnsiTheme="majorBidi" w:cstheme="majorBidi"/>
        <w:b/>
        <w:bCs/>
        <w:noProof/>
      </w:rPr>
    </w:pPr>
  </w:p>
  <w:p w14:paraId="187239C9" w14:textId="77777777" w:rsidR="00D04BAE" w:rsidRPr="007608DB" w:rsidRDefault="00D04BAE" w:rsidP="00BD60F7">
    <w:pPr>
      <w:pStyle w:val="Header"/>
      <w:jc w:val="right"/>
      <w:rPr>
        <w:rFonts w:asciiTheme="majorBidi" w:hAnsiTheme="majorBidi" w:cstheme="majorBidi"/>
        <w:b/>
        <w:bC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28E5AB" w14:textId="1139E825" w:rsidR="006B5665" w:rsidRDefault="00045844" w:rsidP="00045844">
    <w:pPr>
      <w:pStyle w:val="Header"/>
      <w:jc w:val="center"/>
    </w:pPr>
    <w:r>
      <w:rPr>
        <w:noProof/>
        <w:lang w:val="en-US" w:eastAsia="en-US"/>
      </w:rPr>
      <w:drawing>
        <wp:inline distT="0" distB="0" distL="0" distR="0" wp14:anchorId="758B960D" wp14:editId="07085CEC">
          <wp:extent cx="5669280" cy="1431573"/>
          <wp:effectExtent l="0" t="0" r="7620" b="0"/>
          <wp:docPr id="6" name="Picture 6" descr="D:\Users\sealw\Desktop\PHMM\Graphics\13 PHMM mainbanner 2019 small 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sealw\Desktop\PHMM\Graphics\13 PHMM mainbanner 2019 small F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69979" cy="1431749"/>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B641A"/>
    <w:multiLevelType w:val="hybridMultilevel"/>
    <w:tmpl w:val="27C2CBB2"/>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BE7783"/>
    <w:multiLevelType w:val="hybridMultilevel"/>
    <w:tmpl w:val="65FCD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E62902"/>
    <w:multiLevelType w:val="hybridMultilevel"/>
    <w:tmpl w:val="F8B86A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A6F74AF"/>
    <w:multiLevelType w:val="hybridMultilevel"/>
    <w:tmpl w:val="35AA444A"/>
    <w:lvl w:ilvl="0" w:tplc="08090015">
      <w:start w:val="1"/>
      <w:numFmt w:val="upp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12406463"/>
    <w:multiLevelType w:val="hybridMultilevel"/>
    <w:tmpl w:val="05F833F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nsid w:val="15CB306E"/>
    <w:multiLevelType w:val="hybridMultilevel"/>
    <w:tmpl w:val="2E5E3E9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65560A5"/>
    <w:multiLevelType w:val="hybridMultilevel"/>
    <w:tmpl w:val="E2185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6590D36"/>
    <w:multiLevelType w:val="hybridMultilevel"/>
    <w:tmpl w:val="E0560620"/>
    <w:lvl w:ilvl="0" w:tplc="4A864F42">
      <w:start w:val="1"/>
      <w:numFmt w:val="bullet"/>
      <w:lvlText w:val="•"/>
      <w:lvlJc w:val="left"/>
      <w:pPr>
        <w:tabs>
          <w:tab w:val="num" w:pos="720"/>
        </w:tabs>
        <w:ind w:left="720" w:hanging="360"/>
      </w:pPr>
      <w:rPr>
        <w:rFonts w:ascii="Arial" w:hAnsi="Arial" w:hint="default"/>
      </w:rPr>
    </w:lvl>
    <w:lvl w:ilvl="1" w:tplc="00BC7D1E">
      <w:start w:val="1655"/>
      <w:numFmt w:val="bullet"/>
      <w:lvlText w:val="•"/>
      <w:lvlJc w:val="left"/>
      <w:pPr>
        <w:tabs>
          <w:tab w:val="num" w:pos="1440"/>
        </w:tabs>
        <w:ind w:left="1440" w:hanging="360"/>
      </w:pPr>
      <w:rPr>
        <w:rFonts w:ascii="Arial" w:hAnsi="Arial" w:hint="default"/>
      </w:rPr>
    </w:lvl>
    <w:lvl w:ilvl="2" w:tplc="72D27C2C" w:tentative="1">
      <w:start w:val="1"/>
      <w:numFmt w:val="bullet"/>
      <w:lvlText w:val="•"/>
      <w:lvlJc w:val="left"/>
      <w:pPr>
        <w:tabs>
          <w:tab w:val="num" w:pos="2160"/>
        </w:tabs>
        <w:ind w:left="2160" w:hanging="360"/>
      </w:pPr>
      <w:rPr>
        <w:rFonts w:ascii="Arial" w:hAnsi="Arial" w:hint="default"/>
      </w:rPr>
    </w:lvl>
    <w:lvl w:ilvl="3" w:tplc="46E2CF28" w:tentative="1">
      <w:start w:val="1"/>
      <w:numFmt w:val="bullet"/>
      <w:lvlText w:val="•"/>
      <w:lvlJc w:val="left"/>
      <w:pPr>
        <w:tabs>
          <w:tab w:val="num" w:pos="2880"/>
        </w:tabs>
        <w:ind w:left="2880" w:hanging="360"/>
      </w:pPr>
      <w:rPr>
        <w:rFonts w:ascii="Arial" w:hAnsi="Arial" w:hint="default"/>
      </w:rPr>
    </w:lvl>
    <w:lvl w:ilvl="4" w:tplc="DE3AD188" w:tentative="1">
      <w:start w:val="1"/>
      <w:numFmt w:val="bullet"/>
      <w:lvlText w:val="•"/>
      <w:lvlJc w:val="left"/>
      <w:pPr>
        <w:tabs>
          <w:tab w:val="num" w:pos="3600"/>
        </w:tabs>
        <w:ind w:left="3600" w:hanging="360"/>
      </w:pPr>
      <w:rPr>
        <w:rFonts w:ascii="Arial" w:hAnsi="Arial" w:hint="default"/>
      </w:rPr>
    </w:lvl>
    <w:lvl w:ilvl="5" w:tplc="D836140E" w:tentative="1">
      <w:start w:val="1"/>
      <w:numFmt w:val="bullet"/>
      <w:lvlText w:val="•"/>
      <w:lvlJc w:val="left"/>
      <w:pPr>
        <w:tabs>
          <w:tab w:val="num" w:pos="4320"/>
        </w:tabs>
        <w:ind w:left="4320" w:hanging="360"/>
      </w:pPr>
      <w:rPr>
        <w:rFonts w:ascii="Arial" w:hAnsi="Arial" w:hint="default"/>
      </w:rPr>
    </w:lvl>
    <w:lvl w:ilvl="6" w:tplc="CF8A9012" w:tentative="1">
      <w:start w:val="1"/>
      <w:numFmt w:val="bullet"/>
      <w:lvlText w:val="•"/>
      <w:lvlJc w:val="left"/>
      <w:pPr>
        <w:tabs>
          <w:tab w:val="num" w:pos="5040"/>
        </w:tabs>
        <w:ind w:left="5040" w:hanging="360"/>
      </w:pPr>
      <w:rPr>
        <w:rFonts w:ascii="Arial" w:hAnsi="Arial" w:hint="default"/>
      </w:rPr>
    </w:lvl>
    <w:lvl w:ilvl="7" w:tplc="653079AC" w:tentative="1">
      <w:start w:val="1"/>
      <w:numFmt w:val="bullet"/>
      <w:lvlText w:val="•"/>
      <w:lvlJc w:val="left"/>
      <w:pPr>
        <w:tabs>
          <w:tab w:val="num" w:pos="5760"/>
        </w:tabs>
        <w:ind w:left="5760" w:hanging="360"/>
      </w:pPr>
      <w:rPr>
        <w:rFonts w:ascii="Arial" w:hAnsi="Arial" w:hint="default"/>
      </w:rPr>
    </w:lvl>
    <w:lvl w:ilvl="8" w:tplc="1BF8678C" w:tentative="1">
      <w:start w:val="1"/>
      <w:numFmt w:val="bullet"/>
      <w:lvlText w:val="•"/>
      <w:lvlJc w:val="left"/>
      <w:pPr>
        <w:tabs>
          <w:tab w:val="num" w:pos="6480"/>
        </w:tabs>
        <w:ind w:left="6480" w:hanging="360"/>
      </w:pPr>
      <w:rPr>
        <w:rFonts w:ascii="Arial" w:hAnsi="Arial" w:hint="default"/>
      </w:rPr>
    </w:lvl>
  </w:abstractNum>
  <w:abstractNum w:abstractNumId="8">
    <w:nsid w:val="16806CDD"/>
    <w:multiLevelType w:val="hybridMultilevel"/>
    <w:tmpl w:val="716465C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nsid w:val="1D2F3F55"/>
    <w:multiLevelType w:val="hybridMultilevel"/>
    <w:tmpl w:val="B6FECD52"/>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E8C28C4"/>
    <w:multiLevelType w:val="hybridMultilevel"/>
    <w:tmpl w:val="5A70E6B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F0E0A9D"/>
    <w:multiLevelType w:val="hybridMultilevel"/>
    <w:tmpl w:val="C07854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nsid w:val="23356EA5"/>
    <w:multiLevelType w:val="hybridMultilevel"/>
    <w:tmpl w:val="E45E847A"/>
    <w:lvl w:ilvl="0" w:tplc="040C0017">
      <w:start w:val="1"/>
      <w:numFmt w:val="lowerLetter"/>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3">
    <w:nsid w:val="24812107"/>
    <w:multiLevelType w:val="hybridMultilevel"/>
    <w:tmpl w:val="5DF033E2"/>
    <w:lvl w:ilvl="0" w:tplc="F040599A">
      <w:start w:val="1"/>
      <w:numFmt w:val="bullet"/>
      <w:lvlText w:val="•"/>
      <w:lvlJc w:val="left"/>
      <w:pPr>
        <w:tabs>
          <w:tab w:val="num" w:pos="360"/>
        </w:tabs>
        <w:ind w:left="360" w:hanging="360"/>
      </w:pPr>
      <w:rPr>
        <w:rFonts w:ascii="Arial" w:hAnsi="Arial" w:hint="default"/>
      </w:rPr>
    </w:lvl>
    <w:lvl w:ilvl="1" w:tplc="FD36CBB4">
      <w:start w:val="1"/>
      <w:numFmt w:val="bullet"/>
      <w:lvlText w:val="•"/>
      <w:lvlJc w:val="left"/>
      <w:pPr>
        <w:tabs>
          <w:tab w:val="num" w:pos="1080"/>
        </w:tabs>
        <w:ind w:left="1080" w:hanging="360"/>
      </w:pPr>
      <w:rPr>
        <w:rFonts w:ascii="Arial" w:hAnsi="Arial" w:hint="default"/>
      </w:rPr>
    </w:lvl>
    <w:lvl w:ilvl="2" w:tplc="5546C9E4" w:tentative="1">
      <w:start w:val="1"/>
      <w:numFmt w:val="bullet"/>
      <w:lvlText w:val="•"/>
      <w:lvlJc w:val="left"/>
      <w:pPr>
        <w:tabs>
          <w:tab w:val="num" w:pos="1800"/>
        </w:tabs>
        <w:ind w:left="1800" w:hanging="360"/>
      </w:pPr>
      <w:rPr>
        <w:rFonts w:ascii="Arial" w:hAnsi="Arial" w:hint="default"/>
      </w:rPr>
    </w:lvl>
    <w:lvl w:ilvl="3" w:tplc="C35E9D10" w:tentative="1">
      <w:start w:val="1"/>
      <w:numFmt w:val="bullet"/>
      <w:lvlText w:val="•"/>
      <w:lvlJc w:val="left"/>
      <w:pPr>
        <w:tabs>
          <w:tab w:val="num" w:pos="2520"/>
        </w:tabs>
        <w:ind w:left="2520" w:hanging="360"/>
      </w:pPr>
      <w:rPr>
        <w:rFonts w:ascii="Arial" w:hAnsi="Arial" w:hint="default"/>
      </w:rPr>
    </w:lvl>
    <w:lvl w:ilvl="4" w:tplc="DC0AF0A6" w:tentative="1">
      <w:start w:val="1"/>
      <w:numFmt w:val="bullet"/>
      <w:lvlText w:val="•"/>
      <w:lvlJc w:val="left"/>
      <w:pPr>
        <w:tabs>
          <w:tab w:val="num" w:pos="3240"/>
        </w:tabs>
        <w:ind w:left="3240" w:hanging="360"/>
      </w:pPr>
      <w:rPr>
        <w:rFonts w:ascii="Arial" w:hAnsi="Arial" w:hint="default"/>
      </w:rPr>
    </w:lvl>
    <w:lvl w:ilvl="5" w:tplc="C9F0A56C" w:tentative="1">
      <w:start w:val="1"/>
      <w:numFmt w:val="bullet"/>
      <w:lvlText w:val="•"/>
      <w:lvlJc w:val="left"/>
      <w:pPr>
        <w:tabs>
          <w:tab w:val="num" w:pos="3960"/>
        </w:tabs>
        <w:ind w:left="3960" w:hanging="360"/>
      </w:pPr>
      <w:rPr>
        <w:rFonts w:ascii="Arial" w:hAnsi="Arial" w:hint="default"/>
      </w:rPr>
    </w:lvl>
    <w:lvl w:ilvl="6" w:tplc="AFC816BC" w:tentative="1">
      <w:start w:val="1"/>
      <w:numFmt w:val="bullet"/>
      <w:lvlText w:val="•"/>
      <w:lvlJc w:val="left"/>
      <w:pPr>
        <w:tabs>
          <w:tab w:val="num" w:pos="4680"/>
        </w:tabs>
        <w:ind w:left="4680" w:hanging="360"/>
      </w:pPr>
      <w:rPr>
        <w:rFonts w:ascii="Arial" w:hAnsi="Arial" w:hint="default"/>
      </w:rPr>
    </w:lvl>
    <w:lvl w:ilvl="7" w:tplc="A5E483AE" w:tentative="1">
      <w:start w:val="1"/>
      <w:numFmt w:val="bullet"/>
      <w:lvlText w:val="•"/>
      <w:lvlJc w:val="left"/>
      <w:pPr>
        <w:tabs>
          <w:tab w:val="num" w:pos="5400"/>
        </w:tabs>
        <w:ind w:left="5400" w:hanging="360"/>
      </w:pPr>
      <w:rPr>
        <w:rFonts w:ascii="Arial" w:hAnsi="Arial" w:hint="default"/>
      </w:rPr>
    </w:lvl>
    <w:lvl w:ilvl="8" w:tplc="11704824" w:tentative="1">
      <w:start w:val="1"/>
      <w:numFmt w:val="bullet"/>
      <w:lvlText w:val="•"/>
      <w:lvlJc w:val="left"/>
      <w:pPr>
        <w:tabs>
          <w:tab w:val="num" w:pos="6120"/>
        </w:tabs>
        <w:ind w:left="6120" w:hanging="360"/>
      </w:pPr>
      <w:rPr>
        <w:rFonts w:ascii="Arial" w:hAnsi="Arial" w:hint="default"/>
      </w:rPr>
    </w:lvl>
  </w:abstractNum>
  <w:abstractNum w:abstractNumId="14">
    <w:nsid w:val="28254C68"/>
    <w:multiLevelType w:val="hybridMultilevel"/>
    <w:tmpl w:val="E86ADCAC"/>
    <w:lvl w:ilvl="0" w:tplc="D0CEE3AC">
      <w:start w:val="4"/>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CC66712"/>
    <w:multiLevelType w:val="hybridMultilevel"/>
    <w:tmpl w:val="26BA0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F091B1B"/>
    <w:multiLevelType w:val="hybridMultilevel"/>
    <w:tmpl w:val="03621C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7">
    <w:nsid w:val="35540901"/>
    <w:multiLevelType w:val="hybridMultilevel"/>
    <w:tmpl w:val="B69C1DCC"/>
    <w:lvl w:ilvl="0" w:tplc="D682D1D6">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58C0C88"/>
    <w:multiLevelType w:val="hybridMultilevel"/>
    <w:tmpl w:val="B96E550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36261259"/>
    <w:multiLevelType w:val="hybridMultilevel"/>
    <w:tmpl w:val="22A0A246"/>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6F62A16"/>
    <w:multiLevelType w:val="hybridMultilevel"/>
    <w:tmpl w:val="8A380660"/>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1">
    <w:nsid w:val="37556E58"/>
    <w:multiLevelType w:val="hybridMultilevel"/>
    <w:tmpl w:val="4D4016F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38F265BB"/>
    <w:multiLevelType w:val="hybridMultilevel"/>
    <w:tmpl w:val="CCAEE334"/>
    <w:lvl w:ilvl="0" w:tplc="B71E9D5A">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3">
    <w:nsid w:val="3B89413E"/>
    <w:multiLevelType w:val="hybridMultilevel"/>
    <w:tmpl w:val="645EF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790368"/>
    <w:multiLevelType w:val="hybridMultilevel"/>
    <w:tmpl w:val="96B07282"/>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1D67FFA"/>
    <w:multiLevelType w:val="hybridMultilevel"/>
    <w:tmpl w:val="C96245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3B23E49"/>
    <w:multiLevelType w:val="multilevel"/>
    <w:tmpl w:val="DFDA3414"/>
    <w:lvl w:ilvl="0">
      <w:start w:val="1"/>
      <w:numFmt w:val="decimal"/>
      <w:lvlText w:val="%1."/>
      <w:lvlJc w:val="left"/>
      <w:pPr>
        <w:ind w:left="720" w:hanging="360"/>
      </w:pPr>
      <w:rPr>
        <w:rFonts w:eastAsia="Malgun Gothic" w:hint="default"/>
      </w:rPr>
    </w:lvl>
    <w:lvl w:ilvl="1">
      <w:start w:val="3"/>
      <w:numFmt w:val="decimal"/>
      <w:isLgl/>
      <w:lvlText w:val="%1.%2"/>
      <w:lvlJc w:val="left"/>
      <w:pPr>
        <w:ind w:left="924" w:hanging="56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43DB79EA"/>
    <w:multiLevelType w:val="hybridMultilevel"/>
    <w:tmpl w:val="B49C4784"/>
    <w:lvl w:ilvl="0" w:tplc="04090003">
      <w:start w:val="1"/>
      <w:numFmt w:val="bullet"/>
      <w:lvlText w:val="o"/>
      <w:lvlJc w:val="left"/>
      <w:pPr>
        <w:ind w:left="1620" w:hanging="360"/>
      </w:pPr>
      <w:rPr>
        <w:rFonts w:ascii="Courier New" w:hAnsi="Courier New" w:cs="Courier New" w:hint="default"/>
      </w:rPr>
    </w:lvl>
    <w:lvl w:ilvl="1" w:tplc="08090003" w:tentative="1">
      <w:start w:val="1"/>
      <w:numFmt w:val="bullet"/>
      <w:lvlText w:val="o"/>
      <w:lvlJc w:val="left"/>
      <w:pPr>
        <w:ind w:left="2340" w:hanging="360"/>
      </w:pPr>
      <w:rPr>
        <w:rFonts w:ascii="Courier New" w:hAnsi="Courier New" w:cs="Courier New" w:hint="default"/>
      </w:rPr>
    </w:lvl>
    <w:lvl w:ilvl="2" w:tplc="08090005" w:tentative="1">
      <w:start w:val="1"/>
      <w:numFmt w:val="bullet"/>
      <w:lvlText w:val=""/>
      <w:lvlJc w:val="left"/>
      <w:pPr>
        <w:ind w:left="3060" w:hanging="360"/>
      </w:pPr>
      <w:rPr>
        <w:rFonts w:ascii="Wingdings" w:hAnsi="Wingdings" w:hint="default"/>
      </w:rPr>
    </w:lvl>
    <w:lvl w:ilvl="3" w:tplc="08090001" w:tentative="1">
      <w:start w:val="1"/>
      <w:numFmt w:val="bullet"/>
      <w:lvlText w:val=""/>
      <w:lvlJc w:val="left"/>
      <w:pPr>
        <w:ind w:left="3780" w:hanging="360"/>
      </w:pPr>
      <w:rPr>
        <w:rFonts w:ascii="Symbol" w:hAnsi="Symbol" w:hint="default"/>
      </w:rPr>
    </w:lvl>
    <w:lvl w:ilvl="4" w:tplc="08090003" w:tentative="1">
      <w:start w:val="1"/>
      <w:numFmt w:val="bullet"/>
      <w:lvlText w:val="o"/>
      <w:lvlJc w:val="left"/>
      <w:pPr>
        <w:ind w:left="4500" w:hanging="360"/>
      </w:pPr>
      <w:rPr>
        <w:rFonts w:ascii="Courier New" w:hAnsi="Courier New" w:cs="Courier New" w:hint="default"/>
      </w:rPr>
    </w:lvl>
    <w:lvl w:ilvl="5" w:tplc="08090005" w:tentative="1">
      <w:start w:val="1"/>
      <w:numFmt w:val="bullet"/>
      <w:lvlText w:val=""/>
      <w:lvlJc w:val="left"/>
      <w:pPr>
        <w:ind w:left="5220" w:hanging="360"/>
      </w:pPr>
      <w:rPr>
        <w:rFonts w:ascii="Wingdings" w:hAnsi="Wingdings" w:hint="default"/>
      </w:rPr>
    </w:lvl>
    <w:lvl w:ilvl="6" w:tplc="08090001" w:tentative="1">
      <w:start w:val="1"/>
      <w:numFmt w:val="bullet"/>
      <w:lvlText w:val=""/>
      <w:lvlJc w:val="left"/>
      <w:pPr>
        <w:ind w:left="5940" w:hanging="360"/>
      </w:pPr>
      <w:rPr>
        <w:rFonts w:ascii="Symbol" w:hAnsi="Symbol" w:hint="default"/>
      </w:rPr>
    </w:lvl>
    <w:lvl w:ilvl="7" w:tplc="08090003" w:tentative="1">
      <w:start w:val="1"/>
      <w:numFmt w:val="bullet"/>
      <w:lvlText w:val="o"/>
      <w:lvlJc w:val="left"/>
      <w:pPr>
        <w:ind w:left="6660" w:hanging="360"/>
      </w:pPr>
      <w:rPr>
        <w:rFonts w:ascii="Courier New" w:hAnsi="Courier New" w:cs="Courier New" w:hint="default"/>
      </w:rPr>
    </w:lvl>
    <w:lvl w:ilvl="8" w:tplc="08090005" w:tentative="1">
      <w:start w:val="1"/>
      <w:numFmt w:val="bullet"/>
      <w:lvlText w:val=""/>
      <w:lvlJc w:val="left"/>
      <w:pPr>
        <w:ind w:left="7380" w:hanging="360"/>
      </w:pPr>
      <w:rPr>
        <w:rFonts w:ascii="Wingdings" w:hAnsi="Wingdings" w:hint="default"/>
      </w:rPr>
    </w:lvl>
  </w:abstractNum>
  <w:abstractNum w:abstractNumId="28">
    <w:nsid w:val="46974DB1"/>
    <w:multiLevelType w:val="hybridMultilevel"/>
    <w:tmpl w:val="8C02AD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C7A29DE"/>
    <w:multiLevelType w:val="hybridMultilevel"/>
    <w:tmpl w:val="BE38FC3C"/>
    <w:lvl w:ilvl="0" w:tplc="04090001">
      <w:start w:val="1"/>
      <w:numFmt w:val="bullet"/>
      <w:lvlText w:val=""/>
      <w:lvlJc w:val="left"/>
      <w:pPr>
        <w:ind w:left="1102" w:hanging="360"/>
      </w:pPr>
      <w:rPr>
        <w:rFonts w:ascii="Symbol" w:hAnsi="Symbol" w:hint="default"/>
      </w:rPr>
    </w:lvl>
    <w:lvl w:ilvl="1" w:tplc="04090003" w:tentative="1">
      <w:start w:val="1"/>
      <w:numFmt w:val="bullet"/>
      <w:lvlText w:val="o"/>
      <w:lvlJc w:val="left"/>
      <w:pPr>
        <w:ind w:left="1822" w:hanging="360"/>
      </w:pPr>
      <w:rPr>
        <w:rFonts w:ascii="Courier New" w:hAnsi="Courier New" w:cs="Courier New" w:hint="default"/>
      </w:rPr>
    </w:lvl>
    <w:lvl w:ilvl="2" w:tplc="04090005" w:tentative="1">
      <w:start w:val="1"/>
      <w:numFmt w:val="bullet"/>
      <w:lvlText w:val=""/>
      <w:lvlJc w:val="left"/>
      <w:pPr>
        <w:ind w:left="2542" w:hanging="360"/>
      </w:pPr>
      <w:rPr>
        <w:rFonts w:ascii="Wingdings" w:hAnsi="Wingdings" w:hint="default"/>
      </w:rPr>
    </w:lvl>
    <w:lvl w:ilvl="3" w:tplc="04090001" w:tentative="1">
      <w:start w:val="1"/>
      <w:numFmt w:val="bullet"/>
      <w:lvlText w:val=""/>
      <w:lvlJc w:val="left"/>
      <w:pPr>
        <w:ind w:left="3262" w:hanging="360"/>
      </w:pPr>
      <w:rPr>
        <w:rFonts w:ascii="Symbol" w:hAnsi="Symbol" w:hint="default"/>
      </w:rPr>
    </w:lvl>
    <w:lvl w:ilvl="4" w:tplc="04090003" w:tentative="1">
      <w:start w:val="1"/>
      <w:numFmt w:val="bullet"/>
      <w:lvlText w:val="o"/>
      <w:lvlJc w:val="left"/>
      <w:pPr>
        <w:ind w:left="3982" w:hanging="360"/>
      </w:pPr>
      <w:rPr>
        <w:rFonts w:ascii="Courier New" w:hAnsi="Courier New" w:cs="Courier New" w:hint="default"/>
      </w:rPr>
    </w:lvl>
    <w:lvl w:ilvl="5" w:tplc="04090005" w:tentative="1">
      <w:start w:val="1"/>
      <w:numFmt w:val="bullet"/>
      <w:lvlText w:val=""/>
      <w:lvlJc w:val="left"/>
      <w:pPr>
        <w:ind w:left="4702" w:hanging="360"/>
      </w:pPr>
      <w:rPr>
        <w:rFonts w:ascii="Wingdings" w:hAnsi="Wingdings" w:hint="default"/>
      </w:rPr>
    </w:lvl>
    <w:lvl w:ilvl="6" w:tplc="04090001" w:tentative="1">
      <w:start w:val="1"/>
      <w:numFmt w:val="bullet"/>
      <w:lvlText w:val=""/>
      <w:lvlJc w:val="left"/>
      <w:pPr>
        <w:ind w:left="5422" w:hanging="360"/>
      </w:pPr>
      <w:rPr>
        <w:rFonts w:ascii="Symbol" w:hAnsi="Symbol" w:hint="default"/>
      </w:rPr>
    </w:lvl>
    <w:lvl w:ilvl="7" w:tplc="04090003" w:tentative="1">
      <w:start w:val="1"/>
      <w:numFmt w:val="bullet"/>
      <w:lvlText w:val="o"/>
      <w:lvlJc w:val="left"/>
      <w:pPr>
        <w:ind w:left="6142" w:hanging="360"/>
      </w:pPr>
      <w:rPr>
        <w:rFonts w:ascii="Courier New" w:hAnsi="Courier New" w:cs="Courier New" w:hint="default"/>
      </w:rPr>
    </w:lvl>
    <w:lvl w:ilvl="8" w:tplc="04090005" w:tentative="1">
      <w:start w:val="1"/>
      <w:numFmt w:val="bullet"/>
      <w:lvlText w:val=""/>
      <w:lvlJc w:val="left"/>
      <w:pPr>
        <w:ind w:left="6862" w:hanging="360"/>
      </w:pPr>
      <w:rPr>
        <w:rFonts w:ascii="Wingdings" w:hAnsi="Wingdings" w:hint="default"/>
      </w:rPr>
    </w:lvl>
  </w:abstractNum>
  <w:abstractNum w:abstractNumId="30">
    <w:nsid w:val="4E1D6513"/>
    <w:multiLevelType w:val="hybridMultilevel"/>
    <w:tmpl w:val="90849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FBD43C3"/>
    <w:multiLevelType w:val="hybridMultilevel"/>
    <w:tmpl w:val="904ADD72"/>
    <w:lvl w:ilvl="0" w:tplc="63201A20">
      <w:start w:val="7"/>
      <w:numFmt w:val="lowerLetter"/>
      <w:lvlText w:val="%1)"/>
      <w:lvlJc w:val="left"/>
      <w:pPr>
        <w:ind w:left="1353" w:hanging="360"/>
      </w:pPr>
      <w:rPr>
        <w:rFonts w:hint="default"/>
      </w:rPr>
    </w:lvl>
    <w:lvl w:ilvl="1" w:tplc="040C0019" w:tentative="1">
      <w:start w:val="1"/>
      <w:numFmt w:val="lowerLetter"/>
      <w:lvlText w:val="%2."/>
      <w:lvlJc w:val="left"/>
      <w:pPr>
        <w:ind w:left="2073" w:hanging="360"/>
      </w:pPr>
    </w:lvl>
    <w:lvl w:ilvl="2" w:tplc="040C001B" w:tentative="1">
      <w:start w:val="1"/>
      <w:numFmt w:val="lowerRoman"/>
      <w:lvlText w:val="%3."/>
      <w:lvlJc w:val="right"/>
      <w:pPr>
        <w:ind w:left="2793" w:hanging="180"/>
      </w:pPr>
    </w:lvl>
    <w:lvl w:ilvl="3" w:tplc="040C000F" w:tentative="1">
      <w:start w:val="1"/>
      <w:numFmt w:val="decimal"/>
      <w:lvlText w:val="%4."/>
      <w:lvlJc w:val="left"/>
      <w:pPr>
        <w:ind w:left="3513" w:hanging="360"/>
      </w:pPr>
    </w:lvl>
    <w:lvl w:ilvl="4" w:tplc="040C0019" w:tentative="1">
      <w:start w:val="1"/>
      <w:numFmt w:val="lowerLetter"/>
      <w:lvlText w:val="%5."/>
      <w:lvlJc w:val="left"/>
      <w:pPr>
        <w:ind w:left="4233" w:hanging="360"/>
      </w:pPr>
    </w:lvl>
    <w:lvl w:ilvl="5" w:tplc="040C001B" w:tentative="1">
      <w:start w:val="1"/>
      <w:numFmt w:val="lowerRoman"/>
      <w:lvlText w:val="%6."/>
      <w:lvlJc w:val="right"/>
      <w:pPr>
        <w:ind w:left="4953" w:hanging="180"/>
      </w:pPr>
    </w:lvl>
    <w:lvl w:ilvl="6" w:tplc="040C000F" w:tentative="1">
      <w:start w:val="1"/>
      <w:numFmt w:val="decimal"/>
      <w:lvlText w:val="%7."/>
      <w:lvlJc w:val="left"/>
      <w:pPr>
        <w:ind w:left="5673" w:hanging="360"/>
      </w:pPr>
    </w:lvl>
    <w:lvl w:ilvl="7" w:tplc="040C0019" w:tentative="1">
      <w:start w:val="1"/>
      <w:numFmt w:val="lowerLetter"/>
      <w:lvlText w:val="%8."/>
      <w:lvlJc w:val="left"/>
      <w:pPr>
        <w:ind w:left="6393" w:hanging="360"/>
      </w:pPr>
    </w:lvl>
    <w:lvl w:ilvl="8" w:tplc="040C001B" w:tentative="1">
      <w:start w:val="1"/>
      <w:numFmt w:val="lowerRoman"/>
      <w:lvlText w:val="%9."/>
      <w:lvlJc w:val="right"/>
      <w:pPr>
        <w:ind w:left="7113" w:hanging="180"/>
      </w:pPr>
    </w:lvl>
  </w:abstractNum>
  <w:abstractNum w:abstractNumId="32">
    <w:nsid w:val="507B329D"/>
    <w:multiLevelType w:val="hybridMultilevel"/>
    <w:tmpl w:val="381AA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B163348"/>
    <w:multiLevelType w:val="hybridMultilevel"/>
    <w:tmpl w:val="288CCA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C090D91"/>
    <w:multiLevelType w:val="hybridMultilevel"/>
    <w:tmpl w:val="3BC8E8B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nsid w:val="62F052B6"/>
    <w:multiLevelType w:val="hybridMultilevel"/>
    <w:tmpl w:val="268C3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3980AEB"/>
    <w:multiLevelType w:val="hybridMultilevel"/>
    <w:tmpl w:val="316C8528"/>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3FE4B59"/>
    <w:multiLevelType w:val="hybridMultilevel"/>
    <w:tmpl w:val="E41CCA54"/>
    <w:lvl w:ilvl="0" w:tplc="2EDE851C">
      <w:numFmt w:val="bullet"/>
      <w:lvlText w:val="•"/>
      <w:lvlJc w:val="left"/>
      <w:pPr>
        <w:ind w:left="720" w:hanging="36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7A32DE4"/>
    <w:multiLevelType w:val="hybridMultilevel"/>
    <w:tmpl w:val="B5D42AD0"/>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9">
    <w:nsid w:val="6B5024E4"/>
    <w:multiLevelType w:val="hybridMultilevel"/>
    <w:tmpl w:val="E16217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6E627978"/>
    <w:multiLevelType w:val="hybridMultilevel"/>
    <w:tmpl w:val="B210B91C"/>
    <w:lvl w:ilvl="0" w:tplc="9BF81C8E">
      <w:start w:val="1"/>
      <w:numFmt w:val="upperLetter"/>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71367642"/>
    <w:multiLevelType w:val="hybridMultilevel"/>
    <w:tmpl w:val="46B84D2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2">
    <w:nsid w:val="71A35B42"/>
    <w:multiLevelType w:val="hybridMultilevel"/>
    <w:tmpl w:val="5B483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2707AC9"/>
    <w:multiLevelType w:val="hybridMultilevel"/>
    <w:tmpl w:val="9C9ED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2740EA1"/>
    <w:multiLevelType w:val="hybridMultilevel"/>
    <w:tmpl w:val="E8B29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A9B632A"/>
    <w:multiLevelType w:val="hybridMultilevel"/>
    <w:tmpl w:val="0F20AC40"/>
    <w:lvl w:ilvl="0" w:tplc="EECEFAAA">
      <w:start w:val="1"/>
      <w:numFmt w:val="upperLetter"/>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7AED29AA"/>
    <w:multiLevelType w:val="hybridMultilevel"/>
    <w:tmpl w:val="3774B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43"/>
  </w:num>
  <w:num w:numId="3">
    <w:abstractNumId w:val="46"/>
  </w:num>
  <w:num w:numId="4">
    <w:abstractNumId w:val="37"/>
  </w:num>
  <w:num w:numId="5">
    <w:abstractNumId w:val="6"/>
  </w:num>
  <w:num w:numId="6">
    <w:abstractNumId w:val="30"/>
  </w:num>
  <w:num w:numId="7">
    <w:abstractNumId w:val="38"/>
  </w:num>
  <w:num w:numId="8">
    <w:abstractNumId w:val="2"/>
  </w:num>
  <w:num w:numId="9">
    <w:abstractNumId w:val="0"/>
  </w:num>
  <w:num w:numId="10">
    <w:abstractNumId w:val="13"/>
  </w:num>
  <w:num w:numId="11">
    <w:abstractNumId w:val="24"/>
  </w:num>
  <w:num w:numId="12">
    <w:abstractNumId w:val="19"/>
  </w:num>
  <w:num w:numId="13">
    <w:abstractNumId w:val="36"/>
  </w:num>
  <w:num w:numId="14">
    <w:abstractNumId w:val="9"/>
  </w:num>
  <w:num w:numId="15">
    <w:abstractNumId w:val="7"/>
  </w:num>
  <w:num w:numId="16">
    <w:abstractNumId w:val="15"/>
  </w:num>
  <w:num w:numId="17">
    <w:abstractNumId w:val="32"/>
  </w:num>
  <w:num w:numId="18">
    <w:abstractNumId w:val="33"/>
  </w:num>
  <w:num w:numId="19">
    <w:abstractNumId w:val="35"/>
  </w:num>
  <w:num w:numId="20">
    <w:abstractNumId w:val="1"/>
  </w:num>
  <w:num w:numId="21">
    <w:abstractNumId w:val="42"/>
  </w:num>
  <w:num w:numId="22">
    <w:abstractNumId w:val="39"/>
  </w:num>
  <w:num w:numId="23">
    <w:abstractNumId w:val="17"/>
  </w:num>
  <w:num w:numId="24">
    <w:abstractNumId w:val="34"/>
  </w:num>
  <w:num w:numId="25">
    <w:abstractNumId w:val="8"/>
  </w:num>
  <w:num w:numId="26">
    <w:abstractNumId w:val="4"/>
  </w:num>
  <w:num w:numId="27">
    <w:abstractNumId w:val="41"/>
  </w:num>
  <w:num w:numId="28">
    <w:abstractNumId w:val="11"/>
  </w:num>
  <w:num w:numId="29">
    <w:abstractNumId w:val="21"/>
  </w:num>
  <w:num w:numId="30">
    <w:abstractNumId w:val="5"/>
  </w:num>
  <w:num w:numId="31">
    <w:abstractNumId w:val="10"/>
  </w:num>
  <w:num w:numId="32">
    <w:abstractNumId w:val="25"/>
  </w:num>
  <w:num w:numId="33">
    <w:abstractNumId w:val="3"/>
  </w:num>
  <w:num w:numId="34">
    <w:abstractNumId w:val="40"/>
  </w:num>
  <w:num w:numId="35">
    <w:abstractNumId w:val="45"/>
  </w:num>
  <w:num w:numId="36">
    <w:abstractNumId w:val="23"/>
  </w:num>
  <w:num w:numId="37">
    <w:abstractNumId w:val="29"/>
  </w:num>
  <w:num w:numId="38">
    <w:abstractNumId w:val="27"/>
  </w:num>
  <w:num w:numId="39">
    <w:abstractNumId w:val="28"/>
  </w:num>
  <w:num w:numId="40">
    <w:abstractNumId w:val="44"/>
  </w:num>
  <w:num w:numId="41">
    <w:abstractNumId w:val="14"/>
  </w:num>
  <w:num w:numId="42">
    <w:abstractNumId w:val="22"/>
  </w:num>
  <w:num w:numId="43">
    <w:abstractNumId w:val="26"/>
  </w:num>
  <w:num w:numId="44">
    <w:abstractNumId w:val="16"/>
  </w:num>
  <w:num w:numId="45">
    <w:abstractNumId w:val="12"/>
  </w:num>
  <w:num w:numId="46">
    <w:abstractNumId w:val="20"/>
  </w:num>
  <w:num w:numId="4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ctiveWritingStyle w:appName="MSWord" w:lang="fr-FR" w:vendorID="64" w:dllVersion="131078" w:nlCheck="1" w:checkStyle="0"/>
  <w:activeWritingStyle w:appName="MSWord" w:lang="en-GB" w:vendorID="64" w:dllVersion="131078" w:nlCheck="1" w:checkStyle="1"/>
  <w:defaultTabStop w:val="720"/>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SourceLng" w:val="eng"/>
    <w:docVar w:name="TargetLng" w:val="fra"/>
    <w:docVar w:name="TermBases" w:val="SPCTerm"/>
    <w:docVar w:name="TermBaseURL" w:val="empty"/>
    <w:docVar w:name="TextBases" w:val="172.18.22.92\TextBase TMs\CPS\CPS - Affaires internes|172.18.22.92\TextBase TMs\CPS\CPS - Circulaires et annonces de réunion|172.18.22.92\TextBase TMs\CPS\CPS - Documents fondateurs|172.18.22.92\TextBase TMs\CPS\CPS - Plans, cadres et stratégies|172.18.22.92\TextBase TMs\CPS\CPS - Politiques et règlements|172.18.22.92\TextBase TMs\CPS\CPS - Recrutement|172.18.22.92\TextBase TMs\CRGA\CRGA - Budget|172.18.22.92\TextBase TMs\CRGA\CRGA - Conférence|172.18.22.92\TextBase TMs\CRGA\CRGA - Documents|172.18.22.92\TextBase TMs\PROJETS\PROJET - Fonds Pacifique|172.18.22.92\TextBase TMs\PROJETS\PROJET - Integre et Resccue|172.18.22.92\TextBase TMs\PROJETS\PROJET - Protege|172.18.22.92\TextBase TMs\REFERENCES OI\REF OI - Documents de référence|172.18.22.92\TextBase TMs\REFERENCES OI\REF OI - Jiamcatt et glossaires|172.18.22.92\TextBase TMs\TEMPORAIRES\TEMP - CRGA|172.18.22.92\TextBase TMs\TEMPORAIRES\TEMP - TRAD AUTO|172.18.22.92\TextBase TMs\THEMATIQUES et CONF TECHNIQUES\TECH - Agriculture|172.18.22.92\TextBase TMs\THEMATIQUES et CONF TECHNIQUES\TECH - Agriculture - CONF|172.18.22.92\TextBase TMs\THEMATIQUES et CONF TECHNIQUES\TECH - Climat et environnement|172.18.22.92\TextBase TMs\THEMATIQUES et CONF TECHNIQUES\TECH - Climat et environnement - CONF|172.18.22.92\TextBase TMs\THEMATIQUES et CONF TECHNIQUES\TECH - Développement humain|172.18.22.92\TextBase TMs\THEMATIQUES et CONF TECHNIQUES\TECH - Développement humain - CONF|172.18.22.92\TextBase TMs\THEMATIQUES et CONF TECHNIQUES\TECH - Économie, énergie et transports|172.18.22.92\TextBase TMs\THEMATIQUES et CONF TECHNIQUES\TECH - Géosciences|172.18.22.92\TextBase TMs\THEMATIQUES et CONF TECHNIQUES\TECH - Géosciences - CONF|172.18.22.92\TextBase TMs\THEMATIQUES et CONF TECHNIQUES\TECH - Pêche et aquaculture|172.18.22.92\TextBase TMs\THEMATIQUES et CONF TECHNIQUES\TECH - Pêche et aquaculture - CONF|172.18.22.92\TextBase TMs\THEMATIQUES et CONF TECHNIQUES\TECH - Santé - CONF|172.18.22.92\TextBase TMs\THEMATIQUES et CONF TECHNIQUES\TECH - Statistique|172.18.22.92\TextBase TMs\THEMATIQUES et CONF TECHNIQUES\TECH - Statistique - CONF|172.18.22.92\TextBase TMs\THEMATIQUES et CONF TECHNIQUES\TECH - Technologies - CONF|172.18.22.92\TextBase TMs\CLIENTS EXTERNES|172.18.22.92\TextBase TMs\COMMUNICATION|172.18.22.92\TextBase TMs\LEXIQUES|172.18.22.92\TextBase TMs\CRGA\CRGA - Sous-comités|172.18.22.92\TextBase TMs\THEMATIQUES et CONF TECHNIQUES\TECH - Technologies|172.18.22.92\TextBase TMs\THEMATIQUES et CONF TECHNIQUES\TECH - Économie, énergie et transports - CONF|172.18.22.92\TextBase TMs\THEMATIQUES et CONF TECHNIQUES\TECH - Santé|172.18.22.92\TextBase TMs\CPS\CPS - Affaires internes|172.18.22.92\TextBase TMs\CPS\CPS - Circulaires et annonces de réunion|172.18.22.92\TextBase TMs\CPS\CPS - Documents fondateurs|172.18.22.92\TextBase TMs\CPS\CPS - Plans, cadres et stratégies|172.18.22.92\TextBase TMs\CPS\CPS - Politiques et règlements|172.18.22.92\TextBase TMs\CPS\CPS - Recrutement|172.18.22.92\TextBase TMs\CRGA\CRGA - Budget|172.18.22.92\TextBase TMs\CRGA\CRGA - Conférence|172.18.22.92\TextBase TMs\CRGA\CRGA - Documents|172.18.22.92\TextBase TMs\CRGA\CRGA - Sous-comités|172.18.22.92\TextBase TMs\PROJETS\PROJET - Fonds Pacifique|172.18.22.92\TextBase TMs\PROJETS\PROJET - Integre et Resccue|172.18.22.92\TextBase TMs\PROJETS\PROJET - Protege|172.18.22.92\TextBase TMs\REFERENCES OI\REF OI - Documents de référence|172.18.22.92\TextBase TMs\REFERENCES OI\REF OI - Jiamcatt et glossaires|172.18.22.92\TextBase TMs\TEMPORAIRES\TEMP - CRGA|172.18.22.92\TextBase TMs\TEMPORAIRES\TEMP - TRAD AUTO|172.18.22.92\TextBase TMs\THEMATIQUES et CONF TECHNIQUES\TECH - Agriculture|172.18.22.92\TextBase TMs\THEMATIQUES et CONF TECHNIQUES\TECH - Agriculture - CONF|172.18.22.92\TextBase TMs\THEMATIQUES et CONF TECHNIQUES\TECH - Climat et environnement|172.18.22.92\TextBase TMs\THEMATIQUES et CONF TECHNIQUES\TECH - Climat et environnement - CONF|172.18.22.92\TextBase TMs\THEMATIQUES et CONF TECHNIQUES\TECH - Développement humain|172.18.22.92\TextBase TMs\THEMATIQUES et CONF TECHNIQUES\TECH - Développement humain - CONF|172.18.22.92\TextBase TMs\THEMATIQUES et CONF TECHNIQUES\TECH - Économie, énergie et transports|172.18.22.92\TextBase TMs\THEMATIQUES et CONF TECHNIQUES\TECH - Économie, énergie et transports - CONF|172.18.22.92\TextBase TMs\THEMATIQUES et CONF TECHNIQUES\TECH - Géosciences|172.18.22.92\TextBase TMs\THEMATIQUES et CONF TECHNIQUES\TECH - Géosciences - CONF|172.18.22.92\TextBase TMs\THEMATIQUES et CONF TECHNIQUES\TECH - Pêche et aquaculture|172.18.22.92\TextBase TMs\THEMATIQUES et CONF TECHNIQUES\TECH - Pêche et aquaculture - CONF|172.18.22.92\TextBase TMs\THEMATIQUES et CONF TECHNIQUES\TECH - Santé|172.18.22.92\TextBase TMs\THEMATIQUES et CONF TECHNIQUES\TECH - Santé - CONF|172.18.22.92\TextBase TMs\THEMATIQUES et CONF TECHNIQUES\TECH - Statistique|172.18.22.92\TextBase TMs\THEMATIQUES et CONF TECHNIQUES\TECH - Statistique - CONF|172.18.22.92\TextBase TMs\THEMATIQUES et CONF TECHNIQUES\TECH - Technologies|172.18.22.92\TextBase TMs\THEMATIQUES et CONF TECHNIQUES\TECH - Technologies - CONF|172.18.22.92\TextBase TMs\CLIENTS EXTERNES|172.18.22.92\TextBase TMs\COMMUNICATION|172.18.22.92\TextBase TMs\LEXIQUES"/>
    <w:docVar w:name="TextBaseURL" w:val="empty"/>
    <w:docVar w:name="UILng" w:val="en"/>
  </w:docVars>
  <w:rsids>
    <w:rsidRoot w:val="000B22EA"/>
    <w:rsid w:val="000006A6"/>
    <w:rsid w:val="00001BED"/>
    <w:rsid w:val="000028D0"/>
    <w:rsid w:val="000035A9"/>
    <w:rsid w:val="00005284"/>
    <w:rsid w:val="000076BA"/>
    <w:rsid w:val="00011807"/>
    <w:rsid w:val="00014C54"/>
    <w:rsid w:val="00021180"/>
    <w:rsid w:val="000212BC"/>
    <w:rsid w:val="00021611"/>
    <w:rsid w:val="0002474C"/>
    <w:rsid w:val="00031DED"/>
    <w:rsid w:val="000330E5"/>
    <w:rsid w:val="000357A1"/>
    <w:rsid w:val="00042B53"/>
    <w:rsid w:val="000434A2"/>
    <w:rsid w:val="0004524D"/>
    <w:rsid w:val="00045844"/>
    <w:rsid w:val="00046AD8"/>
    <w:rsid w:val="0004739D"/>
    <w:rsid w:val="00051326"/>
    <w:rsid w:val="000517AC"/>
    <w:rsid w:val="00053881"/>
    <w:rsid w:val="00053FDA"/>
    <w:rsid w:val="000548CC"/>
    <w:rsid w:val="00056873"/>
    <w:rsid w:val="0005758A"/>
    <w:rsid w:val="00057746"/>
    <w:rsid w:val="00060597"/>
    <w:rsid w:val="000609B3"/>
    <w:rsid w:val="000622A3"/>
    <w:rsid w:val="0006351E"/>
    <w:rsid w:val="00063FDB"/>
    <w:rsid w:val="000646B3"/>
    <w:rsid w:val="00065A23"/>
    <w:rsid w:val="00070C77"/>
    <w:rsid w:val="0007106D"/>
    <w:rsid w:val="00072074"/>
    <w:rsid w:val="0007551E"/>
    <w:rsid w:val="00075B2E"/>
    <w:rsid w:val="00080A86"/>
    <w:rsid w:val="00080E73"/>
    <w:rsid w:val="00081EEF"/>
    <w:rsid w:val="00082493"/>
    <w:rsid w:val="00085516"/>
    <w:rsid w:val="0008603A"/>
    <w:rsid w:val="000865E3"/>
    <w:rsid w:val="00090851"/>
    <w:rsid w:val="00091380"/>
    <w:rsid w:val="00091DC6"/>
    <w:rsid w:val="000940E0"/>
    <w:rsid w:val="0009537E"/>
    <w:rsid w:val="000957E1"/>
    <w:rsid w:val="00096069"/>
    <w:rsid w:val="000964EF"/>
    <w:rsid w:val="000A1838"/>
    <w:rsid w:val="000A1A88"/>
    <w:rsid w:val="000A3107"/>
    <w:rsid w:val="000A4CC5"/>
    <w:rsid w:val="000A6500"/>
    <w:rsid w:val="000A7661"/>
    <w:rsid w:val="000B076C"/>
    <w:rsid w:val="000B07B4"/>
    <w:rsid w:val="000B22EA"/>
    <w:rsid w:val="000B2BA4"/>
    <w:rsid w:val="000B3376"/>
    <w:rsid w:val="000B5A59"/>
    <w:rsid w:val="000B683B"/>
    <w:rsid w:val="000C441F"/>
    <w:rsid w:val="000C617B"/>
    <w:rsid w:val="000C6336"/>
    <w:rsid w:val="000C7FA4"/>
    <w:rsid w:val="000D032C"/>
    <w:rsid w:val="000D28B0"/>
    <w:rsid w:val="000D4B86"/>
    <w:rsid w:val="000D631C"/>
    <w:rsid w:val="000D70E9"/>
    <w:rsid w:val="000E0FE6"/>
    <w:rsid w:val="000E19CD"/>
    <w:rsid w:val="000E5212"/>
    <w:rsid w:val="000E6C33"/>
    <w:rsid w:val="000F0A55"/>
    <w:rsid w:val="000F17EA"/>
    <w:rsid w:val="000F34F6"/>
    <w:rsid w:val="000F5EF1"/>
    <w:rsid w:val="000F62F0"/>
    <w:rsid w:val="00101BD7"/>
    <w:rsid w:val="001053FB"/>
    <w:rsid w:val="0010585B"/>
    <w:rsid w:val="0010770D"/>
    <w:rsid w:val="00113B6E"/>
    <w:rsid w:val="00114B13"/>
    <w:rsid w:val="001214F0"/>
    <w:rsid w:val="001218CE"/>
    <w:rsid w:val="00124E49"/>
    <w:rsid w:val="00126794"/>
    <w:rsid w:val="00126D12"/>
    <w:rsid w:val="00131A9E"/>
    <w:rsid w:val="00144E92"/>
    <w:rsid w:val="001478F5"/>
    <w:rsid w:val="00147EC4"/>
    <w:rsid w:val="00150E8C"/>
    <w:rsid w:val="00152E28"/>
    <w:rsid w:val="00154857"/>
    <w:rsid w:val="001549B8"/>
    <w:rsid w:val="0015752E"/>
    <w:rsid w:val="001645ED"/>
    <w:rsid w:val="00165FE9"/>
    <w:rsid w:val="001660FA"/>
    <w:rsid w:val="00166CD2"/>
    <w:rsid w:val="00166F39"/>
    <w:rsid w:val="00167E30"/>
    <w:rsid w:val="00170ADA"/>
    <w:rsid w:val="00172B5F"/>
    <w:rsid w:val="00173C3D"/>
    <w:rsid w:val="001775FD"/>
    <w:rsid w:val="00180CB4"/>
    <w:rsid w:val="00181925"/>
    <w:rsid w:val="00184CD0"/>
    <w:rsid w:val="001860E4"/>
    <w:rsid w:val="00191954"/>
    <w:rsid w:val="00192CD9"/>
    <w:rsid w:val="00195526"/>
    <w:rsid w:val="001A068D"/>
    <w:rsid w:val="001A0F5F"/>
    <w:rsid w:val="001A18B9"/>
    <w:rsid w:val="001A2492"/>
    <w:rsid w:val="001B16DF"/>
    <w:rsid w:val="001B2385"/>
    <w:rsid w:val="001B53A5"/>
    <w:rsid w:val="001B595B"/>
    <w:rsid w:val="001B7F55"/>
    <w:rsid w:val="001C034B"/>
    <w:rsid w:val="001C1778"/>
    <w:rsid w:val="001C26B3"/>
    <w:rsid w:val="001C37CE"/>
    <w:rsid w:val="001C38F8"/>
    <w:rsid w:val="001C77D5"/>
    <w:rsid w:val="001D66CD"/>
    <w:rsid w:val="001E295E"/>
    <w:rsid w:val="001E2E4F"/>
    <w:rsid w:val="001E46F5"/>
    <w:rsid w:val="001E4A38"/>
    <w:rsid w:val="001E5B60"/>
    <w:rsid w:val="001E7147"/>
    <w:rsid w:val="001F1D88"/>
    <w:rsid w:val="001F3354"/>
    <w:rsid w:val="001F39F0"/>
    <w:rsid w:val="001F60DB"/>
    <w:rsid w:val="001F6C62"/>
    <w:rsid w:val="001F7017"/>
    <w:rsid w:val="002007E7"/>
    <w:rsid w:val="00200CDC"/>
    <w:rsid w:val="002109B9"/>
    <w:rsid w:val="002109CF"/>
    <w:rsid w:val="00211607"/>
    <w:rsid w:val="00215A87"/>
    <w:rsid w:val="00216786"/>
    <w:rsid w:val="002172BD"/>
    <w:rsid w:val="00220E92"/>
    <w:rsid w:val="00221229"/>
    <w:rsid w:val="00221708"/>
    <w:rsid w:val="0022338A"/>
    <w:rsid w:val="00223E04"/>
    <w:rsid w:val="00223F11"/>
    <w:rsid w:val="00226E91"/>
    <w:rsid w:val="0022780C"/>
    <w:rsid w:val="00232B56"/>
    <w:rsid w:val="00232F47"/>
    <w:rsid w:val="0023352A"/>
    <w:rsid w:val="00233644"/>
    <w:rsid w:val="00236001"/>
    <w:rsid w:val="002421A8"/>
    <w:rsid w:val="00246F54"/>
    <w:rsid w:val="00251BFF"/>
    <w:rsid w:val="002564F0"/>
    <w:rsid w:val="00257D05"/>
    <w:rsid w:val="00260F9A"/>
    <w:rsid w:val="00262450"/>
    <w:rsid w:val="00262AEA"/>
    <w:rsid w:val="00265C4C"/>
    <w:rsid w:val="00266110"/>
    <w:rsid w:val="0026656D"/>
    <w:rsid w:val="00267431"/>
    <w:rsid w:val="002677B3"/>
    <w:rsid w:val="00271E93"/>
    <w:rsid w:val="0027335F"/>
    <w:rsid w:val="00274684"/>
    <w:rsid w:val="00274FBF"/>
    <w:rsid w:val="00275836"/>
    <w:rsid w:val="0027646C"/>
    <w:rsid w:val="00276BC2"/>
    <w:rsid w:val="00281C02"/>
    <w:rsid w:val="00283F3D"/>
    <w:rsid w:val="002840E5"/>
    <w:rsid w:val="00286272"/>
    <w:rsid w:val="00286473"/>
    <w:rsid w:val="00287C2C"/>
    <w:rsid w:val="00290DA3"/>
    <w:rsid w:val="00291038"/>
    <w:rsid w:val="002916EE"/>
    <w:rsid w:val="002A0B3B"/>
    <w:rsid w:val="002A22F9"/>
    <w:rsid w:val="002A4004"/>
    <w:rsid w:val="002A4128"/>
    <w:rsid w:val="002A568C"/>
    <w:rsid w:val="002A5D02"/>
    <w:rsid w:val="002A6F1B"/>
    <w:rsid w:val="002B4367"/>
    <w:rsid w:val="002B4B36"/>
    <w:rsid w:val="002B643D"/>
    <w:rsid w:val="002B6ECD"/>
    <w:rsid w:val="002C24B4"/>
    <w:rsid w:val="002C32BC"/>
    <w:rsid w:val="002C3856"/>
    <w:rsid w:val="002C47A5"/>
    <w:rsid w:val="002C5CEB"/>
    <w:rsid w:val="002D04EA"/>
    <w:rsid w:val="002D3389"/>
    <w:rsid w:val="002D4A80"/>
    <w:rsid w:val="002D6F7A"/>
    <w:rsid w:val="002D7683"/>
    <w:rsid w:val="002F1038"/>
    <w:rsid w:val="002F24BA"/>
    <w:rsid w:val="002F267B"/>
    <w:rsid w:val="002F3C26"/>
    <w:rsid w:val="002F6B1B"/>
    <w:rsid w:val="00303F03"/>
    <w:rsid w:val="00304AD7"/>
    <w:rsid w:val="00311BAE"/>
    <w:rsid w:val="003160F4"/>
    <w:rsid w:val="00320BF8"/>
    <w:rsid w:val="00321839"/>
    <w:rsid w:val="00321B6E"/>
    <w:rsid w:val="003262C1"/>
    <w:rsid w:val="0032670A"/>
    <w:rsid w:val="003307C6"/>
    <w:rsid w:val="003318EA"/>
    <w:rsid w:val="00331C77"/>
    <w:rsid w:val="003321CF"/>
    <w:rsid w:val="00332BF4"/>
    <w:rsid w:val="00333DE1"/>
    <w:rsid w:val="00337A2B"/>
    <w:rsid w:val="00341DFC"/>
    <w:rsid w:val="003437FC"/>
    <w:rsid w:val="0034453B"/>
    <w:rsid w:val="00345E46"/>
    <w:rsid w:val="00347141"/>
    <w:rsid w:val="00347D57"/>
    <w:rsid w:val="00352346"/>
    <w:rsid w:val="003524DF"/>
    <w:rsid w:val="00352844"/>
    <w:rsid w:val="00361301"/>
    <w:rsid w:val="00361D92"/>
    <w:rsid w:val="00363999"/>
    <w:rsid w:val="00363B5A"/>
    <w:rsid w:val="003647B9"/>
    <w:rsid w:val="003712E1"/>
    <w:rsid w:val="0037231D"/>
    <w:rsid w:val="00373184"/>
    <w:rsid w:val="00373585"/>
    <w:rsid w:val="003741E1"/>
    <w:rsid w:val="0037460D"/>
    <w:rsid w:val="003807B4"/>
    <w:rsid w:val="003848C6"/>
    <w:rsid w:val="00391C32"/>
    <w:rsid w:val="00392AEA"/>
    <w:rsid w:val="003977B0"/>
    <w:rsid w:val="003A18F3"/>
    <w:rsid w:val="003A2E7C"/>
    <w:rsid w:val="003A7A3E"/>
    <w:rsid w:val="003B0C3B"/>
    <w:rsid w:val="003B1AF4"/>
    <w:rsid w:val="003B33B9"/>
    <w:rsid w:val="003B465A"/>
    <w:rsid w:val="003B603E"/>
    <w:rsid w:val="003C1B8C"/>
    <w:rsid w:val="003D00DA"/>
    <w:rsid w:val="003D0494"/>
    <w:rsid w:val="003D35A8"/>
    <w:rsid w:val="003D594F"/>
    <w:rsid w:val="003E5359"/>
    <w:rsid w:val="003E56CD"/>
    <w:rsid w:val="003E661C"/>
    <w:rsid w:val="003F00A6"/>
    <w:rsid w:val="003F13A5"/>
    <w:rsid w:val="003F1F6A"/>
    <w:rsid w:val="003F2507"/>
    <w:rsid w:val="003F2CED"/>
    <w:rsid w:val="003F47B4"/>
    <w:rsid w:val="003F782D"/>
    <w:rsid w:val="00403B84"/>
    <w:rsid w:val="0040421F"/>
    <w:rsid w:val="004048F0"/>
    <w:rsid w:val="00405361"/>
    <w:rsid w:val="00412625"/>
    <w:rsid w:val="00413521"/>
    <w:rsid w:val="00417F96"/>
    <w:rsid w:val="004219BE"/>
    <w:rsid w:val="00422252"/>
    <w:rsid w:val="00424479"/>
    <w:rsid w:val="00424E69"/>
    <w:rsid w:val="0042566A"/>
    <w:rsid w:val="0042627B"/>
    <w:rsid w:val="00433A6F"/>
    <w:rsid w:val="00434873"/>
    <w:rsid w:val="00436C80"/>
    <w:rsid w:val="00440011"/>
    <w:rsid w:val="0044045F"/>
    <w:rsid w:val="004438C0"/>
    <w:rsid w:val="00445D15"/>
    <w:rsid w:val="00453276"/>
    <w:rsid w:val="00453E3E"/>
    <w:rsid w:val="00457E6A"/>
    <w:rsid w:val="00461CDE"/>
    <w:rsid w:val="00462C9B"/>
    <w:rsid w:val="004657B5"/>
    <w:rsid w:val="00471432"/>
    <w:rsid w:val="004719D7"/>
    <w:rsid w:val="0047652F"/>
    <w:rsid w:val="004805A7"/>
    <w:rsid w:val="00481AFD"/>
    <w:rsid w:val="00482023"/>
    <w:rsid w:val="00483A00"/>
    <w:rsid w:val="00483B3A"/>
    <w:rsid w:val="004876A3"/>
    <w:rsid w:val="00487AA0"/>
    <w:rsid w:val="00492385"/>
    <w:rsid w:val="0049356C"/>
    <w:rsid w:val="00494BB4"/>
    <w:rsid w:val="00496AC7"/>
    <w:rsid w:val="004A1C60"/>
    <w:rsid w:val="004A2696"/>
    <w:rsid w:val="004A6502"/>
    <w:rsid w:val="004A6D7B"/>
    <w:rsid w:val="004B1395"/>
    <w:rsid w:val="004B1493"/>
    <w:rsid w:val="004B2143"/>
    <w:rsid w:val="004B32E7"/>
    <w:rsid w:val="004B3EA8"/>
    <w:rsid w:val="004B441F"/>
    <w:rsid w:val="004B5D52"/>
    <w:rsid w:val="004B716B"/>
    <w:rsid w:val="004B78B6"/>
    <w:rsid w:val="004B7BD3"/>
    <w:rsid w:val="004C29BA"/>
    <w:rsid w:val="004C3CA8"/>
    <w:rsid w:val="004C5D38"/>
    <w:rsid w:val="004C64E8"/>
    <w:rsid w:val="004D43AC"/>
    <w:rsid w:val="004D57E5"/>
    <w:rsid w:val="004D64F5"/>
    <w:rsid w:val="004E0035"/>
    <w:rsid w:val="004E05DF"/>
    <w:rsid w:val="004E0DBC"/>
    <w:rsid w:val="004E1B5C"/>
    <w:rsid w:val="004E2FAB"/>
    <w:rsid w:val="004E3792"/>
    <w:rsid w:val="004E4609"/>
    <w:rsid w:val="004E480B"/>
    <w:rsid w:val="004E4A10"/>
    <w:rsid w:val="004E4A66"/>
    <w:rsid w:val="004E4B10"/>
    <w:rsid w:val="004F21AA"/>
    <w:rsid w:val="004F2B0F"/>
    <w:rsid w:val="0050422B"/>
    <w:rsid w:val="0050591B"/>
    <w:rsid w:val="00516E7B"/>
    <w:rsid w:val="00523403"/>
    <w:rsid w:val="005256E9"/>
    <w:rsid w:val="00533B65"/>
    <w:rsid w:val="00534DFF"/>
    <w:rsid w:val="00544620"/>
    <w:rsid w:val="00550C84"/>
    <w:rsid w:val="00551A4B"/>
    <w:rsid w:val="00552611"/>
    <w:rsid w:val="00552A13"/>
    <w:rsid w:val="00553C39"/>
    <w:rsid w:val="00554C75"/>
    <w:rsid w:val="00555F56"/>
    <w:rsid w:val="00556CF2"/>
    <w:rsid w:val="00560443"/>
    <w:rsid w:val="00560E73"/>
    <w:rsid w:val="00563600"/>
    <w:rsid w:val="00564AEE"/>
    <w:rsid w:val="00567814"/>
    <w:rsid w:val="005705BF"/>
    <w:rsid w:val="00570CCF"/>
    <w:rsid w:val="00573F62"/>
    <w:rsid w:val="00576E43"/>
    <w:rsid w:val="00581A40"/>
    <w:rsid w:val="00583853"/>
    <w:rsid w:val="0058504B"/>
    <w:rsid w:val="00585DBE"/>
    <w:rsid w:val="0058665E"/>
    <w:rsid w:val="00587D82"/>
    <w:rsid w:val="00591748"/>
    <w:rsid w:val="00593BFB"/>
    <w:rsid w:val="005A1E01"/>
    <w:rsid w:val="005A32B9"/>
    <w:rsid w:val="005A4E0C"/>
    <w:rsid w:val="005A6E4E"/>
    <w:rsid w:val="005B05E5"/>
    <w:rsid w:val="005B164A"/>
    <w:rsid w:val="005B46C8"/>
    <w:rsid w:val="005C00F0"/>
    <w:rsid w:val="005C07C8"/>
    <w:rsid w:val="005C0EA0"/>
    <w:rsid w:val="005C32C7"/>
    <w:rsid w:val="005C3627"/>
    <w:rsid w:val="005C7BFC"/>
    <w:rsid w:val="005D0A39"/>
    <w:rsid w:val="005D2ADF"/>
    <w:rsid w:val="005D3420"/>
    <w:rsid w:val="005D4E10"/>
    <w:rsid w:val="005D6DD8"/>
    <w:rsid w:val="005D7D58"/>
    <w:rsid w:val="005E08CF"/>
    <w:rsid w:val="005E0B40"/>
    <w:rsid w:val="005E1A28"/>
    <w:rsid w:val="005F27E5"/>
    <w:rsid w:val="005F3FFE"/>
    <w:rsid w:val="005F425E"/>
    <w:rsid w:val="005F4720"/>
    <w:rsid w:val="005F5044"/>
    <w:rsid w:val="005F69E0"/>
    <w:rsid w:val="00600155"/>
    <w:rsid w:val="00602E76"/>
    <w:rsid w:val="00603EAE"/>
    <w:rsid w:val="0060400F"/>
    <w:rsid w:val="0060482D"/>
    <w:rsid w:val="00605237"/>
    <w:rsid w:val="00605E6C"/>
    <w:rsid w:val="0060609D"/>
    <w:rsid w:val="0060633D"/>
    <w:rsid w:val="0060634A"/>
    <w:rsid w:val="006072DF"/>
    <w:rsid w:val="00610BF7"/>
    <w:rsid w:val="006116D8"/>
    <w:rsid w:val="00615DD2"/>
    <w:rsid w:val="00617D2F"/>
    <w:rsid w:val="006225EE"/>
    <w:rsid w:val="006259B0"/>
    <w:rsid w:val="00626A0B"/>
    <w:rsid w:val="0063532E"/>
    <w:rsid w:val="00641206"/>
    <w:rsid w:val="006445F7"/>
    <w:rsid w:val="00644C3A"/>
    <w:rsid w:val="006457B3"/>
    <w:rsid w:val="0065404F"/>
    <w:rsid w:val="006566E9"/>
    <w:rsid w:val="00660A12"/>
    <w:rsid w:val="006611E7"/>
    <w:rsid w:val="006639F5"/>
    <w:rsid w:val="00663B51"/>
    <w:rsid w:val="00663C59"/>
    <w:rsid w:val="006641E9"/>
    <w:rsid w:val="00665976"/>
    <w:rsid w:val="00666CCB"/>
    <w:rsid w:val="00667CD3"/>
    <w:rsid w:val="0067309D"/>
    <w:rsid w:val="00676860"/>
    <w:rsid w:val="00677EC7"/>
    <w:rsid w:val="00677F4D"/>
    <w:rsid w:val="00680679"/>
    <w:rsid w:val="00681FAD"/>
    <w:rsid w:val="006840E1"/>
    <w:rsid w:val="00685291"/>
    <w:rsid w:val="00690A79"/>
    <w:rsid w:val="00693E06"/>
    <w:rsid w:val="00695A5C"/>
    <w:rsid w:val="006A1B0C"/>
    <w:rsid w:val="006A548B"/>
    <w:rsid w:val="006A6523"/>
    <w:rsid w:val="006A6B56"/>
    <w:rsid w:val="006B1200"/>
    <w:rsid w:val="006B23B6"/>
    <w:rsid w:val="006B47AA"/>
    <w:rsid w:val="006B4CDF"/>
    <w:rsid w:val="006B5665"/>
    <w:rsid w:val="006B7275"/>
    <w:rsid w:val="006B775B"/>
    <w:rsid w:val="006C045E"/>
    <w:rsid w:val="006C0571"/>
    <w:rsid w:val="006C4067"/>
    <w:rsid w:val="006C6039"/>
    <w:rsid w:val="006C7BAE"/>
    <w:rsid w:val="006D1795"/>
    <w:rsid w:val="006D6221"/>
    <w:rsid w:val="006D6440"/>
    <w:rsid w:val="006E21E8"/>
    <w:rsid w:val="006E2BB8"/>
    <w:rsid w:val="006E2E07"/>
    <w:rsid w:val="006E2FE4"/>
    <w:rsid w:val="006E5BF7"/>
    <w:rsid w:val="006E6AD9"/>
    <w:rsid w:val="006E7CE0"/>
    <w:rsid w:val="006F105F"/>
    <w:rsid w:val="006F45CE"/>
    <w:rsid w:val="006F49C8"/>
    <w:rsid w:val="00701FB5"/>
    <w:rsid w:val="007043FD"/>
    <w:rsid w:val="00705591"/>
    <w:rsid w:val="00705EF1"/>
    <w:rsid w:val="00713B9E"/>
    <w:rsid w:val="00717161"/>
    <w:rsid w:val="00720366"/>
    <w:rsid w:val="007205E4"/>
    <w:rsid w:val="00725401"/>
    <w:rsid w:val="00725C78"/>
    <w:rsid w:val="007277D6"/>
    <w:rsid w:val="007319B0"/>
    <w:rsid w:val="00733B6D"/>
    <w:rsid w:val="0074074F"/>
    <w:rsid w:val="007412DF"/>
    <w:rsid w:val="007418C1"/>
    <w:rsid w:val="00741F24"/>
    <w:rsid w:val="00743918"/>
    <w:rsid w:val="007450BD"/>
    <w:rsid w:val="00746DD9"/>
    <w:rsid w:val="00750A2F"/>
    <w:rsid w:val="00750E48"/>
    <w:rsid w:val="007524AE"/>
    <w:rsid w:val="00752CA8"/>
    <w:rsid w:val="007537CE"/>
    <w:rsid w:val="00753F64"/>
    <w:rsid w:val="007547B3"/>
    <w:rsid w:val="00755F07"/>
    <w:rsid w:val="007608DB"/>
    <w:rsid w:val="0076109C"/>
    <w:rsid w:val="00761101"/>
    <w:rsid w:val="00762300"/>
    <w:rsid w:val="007638F1"/>
    <w:rsid w:val="0076562E"/>
    <w:rsid w:val="00767903"/>
    <w:rsid w:val="00767B8E"/>
    <w:rsid w:val="00767E13"/>
    <w:rsid w:val="0077280F"/>
    <w:rsid w:val="007729B2"/>
    <w:rsid w:val="00774469"/>
    <w:rsid w:val="00775CE8"/>
    <w:rsid w:val="00775D3A"/>
    <w:rsid w:val="00776FB8"/>
    <w:rsid w:val="00777BEF"/>
    <w:rsid w:val="00780219"/>
    <w:rsid w:val="0078171A"/>
    <w:rsid w:val="007855AE"/>
    <w:rsid w:val="00787504"/>
    <w:rsid w:val="00790DF6"/>
    <w:rsid w:val="00790F67"/>
    <w:rsid w:val="007932A1"/>
    <w:rsid w:val="00793CD6"/>
    <w:rsid w:val="0079439A"/>
    <w:rsid w:val="007946E1"/>
    <w:rsid w:val="00794D56"/>
    <w:rsid w:val="007950DA"/>
    <w:rsid w:val="007973E4"/>
    <w:rsid w:val="007A0399"/>
    <w:rsid w:val="007A182D"/>
    <w:rsid w:val="007A3BEC"/>
    <w:rsid w:val="007A5844"/>
    <w:rsid w:val="007A5D27"/>
    <w:rsid w:val="007A64B5"/>
    <w:rsid w:val="007B24D6"/>
    <w:rsid w:val="007B3322"/>
    <w:rsid w:val="007B3810"/>
    <w:rsid w:val="007B5411"/>
    <w:rsid w:val="007B61BD"/>
    <w:rsid w:val="007B7CE8"/>
    <w:rsid w:val="007C28BB"/>
    <w:rsid w:val="007C31CE"/>
    <w:rsid w:val="007C68DB"/>
    <w:rsid w:val="007C6B84"/>
    <w:rsid w:val="007C752D"/>
    <w:rsid w:val="007C7C30"/>
    <w:rsid w:val="007D17E9"/>
    <w:rsid w:val="007D1A9B"/>
    <w:rsid w:val="007D27C0"/>
    <w:rsid w:val="007D2F1C"/>
    <w:rsid w:val="007D309B"/>
    <w:rsid w:val="007D39E2"/>
    <w:rsid w:val="007D3A57"/>
    <w:rsid w:val="007D4D2B"/>
    <w:rsid w:val="007D50B4"/>
    <w:rsid w:val="007D5236"/>
    <w:rsid w:val="007E01EB"/>
    <w:rsid w:val="007E10A6"/>
    <w:rsid w:val="007E3425"/>
    <w:rsid w:val="007E504D"/>
    <w:rsid w:val="007E604F"/>
    <w:rsid w:val="007E6CA0"/>
    <w:rsid w:val="007F02E0"/>
    <w:rsid w:val="007F1ADA"/>
    <w:rsid w:val="007F479C"/>
    <w:rsid w:val="007F56B2"/>
    <w:rsid w:val="007F6195"/>
    <w:rsid w:val="008023DD"/>
    <w:rsid w:val="00810147"/>
    <w:rsid w:val="00812D11"/>
    <w:rsid w:val="00816680"/>
    <w:rsid w:val="00822393"/>
    <w:rsid w:val="008223FB"/>
    <w:rsid w:val="00824CF5"/>
    <w:rsid w:val="008256AD"/>
    <w:rsid w:val="00827F28"/>
    <w:rsid w:val="00830D79"/>
    <w:rsid w:val="008314D0"/>
    <w:rsid w:val="008337B0"/>
    <w:rsid w:val="00836E7B"/>
    <w:rsid w:val="008373C1"/>
    <w:rsid w:val="0084043F"/>
    <w:rsid w:val="008425E6"/>
    <w:rsid w:val="0084471F"/>
    <w:rsid w:val="0084501E"/>
    <w:rsid w:val="00847752"/>
    <w:rsid w:val="00850418"/>
    <w:rsid w:val="008508F4"/>
    <w:rsid w:val="00850E11"/>
    <w:rsid w:val="0085473E"/>
    <w:rsid w:val="008555A9"/>
    <w:rsid w:val="00855FAC"/>
    <w:rsid w:val="00857483"/>
    <w:rsid w:val="00860860"/>
    <w:rsid w:val="00862BDA"/>
    <w:rsid w:val="00862E56"/>
    <w:rsid w:val="00863C7D"/>
    <w:rsid w:val="00863FFB"/>
    <w:rsid w:val="00864253"/>
    <w:rsid w:val="00864CD7"/>
    <w:rsid w:val="00864FC7"/>
    <w:rsid w:val="008652EC"/>
    <w:rsid w:val="00866D1B"/>
    <w:rsid w:val="00871239"/>
    <w:rsid w:val="00872251"/>
    <w:rsid w:val="00876DEC"/>
    <w:rsid w:val="00880048"/>
    <w:rsid w:val="00884583"/>
    <w:rsid w:val="008871AB"/>
    <w:rsid w:val="00887580"/>
    <w:rsid w:val="00892CCC"/>
    <w:rsid w:val="00895A58"/>
    <w:rsid w:val="00897460"/>
    <w:rsid w:val="008A3A8C"/>
    <w:rsid w:val="008B08A5"/>
    <w:rsid w:val="008B3ABF"/>
    <w:rsid w:val="008B4118"/>
    <w:rsid w:val="008B529F"/>
    <w:rsid w:val="008C100A"/>
    <w:rsid w:val="008C60F9"/>
    <w:rsid w:val="008C6101"/>
    <w:rsid w:val="008C6B20"/>
    <w:rsid w:val="008C7627"/>
    <w:rsid w:val="008D1246"/>
    <w:rsid w:val="008D20CE"/>
    <w:rsid w:val="008D20D4"/>
    <w:rsid w:val="008D3DA5"/>
    <w:rsid w:val="008D506B"/>
    <w:rsid w:val="008D50FB"/>
    <w:rsid w:val="008D67A9"/>
    <w:rsid w:val="008D721E"/>
    <w:rsid w:val="008E0650"/>
    <w:rsid w:val="008E0E4B"/>
    <w:rsid w:val="008E201E"/>
    <w:rsid w:val="008E2CBE"/>
    <w:rsid w:val="008F0665"/>
    <w:rsid w:val="008F0FAF"/>
    <w:rsid w:val="008F3C44"/>
    <w:rsid w:val="008F5AF5"/>
    <w:rsid w:val="008F683C"/>
    <w:rsid w:val="008F68B0"/>
    <w:rsid w:val="009008FC"/>
    <w:rsid w:val="00902EE8"/>
    <w:rsid w:val="009065FC"/>
    <w:rsid w:val="00906AB8"/>
    <w:rsid w:val="00906EE6"/>
    <w:rsid w:val="0090737E"/>
    <w:rsid w:val="00907B2E"/>
    <w:rsid w:val="00912F4F"/>
    <w:rsid w:val="00913E4A"/>
    <w:rsid w:val="0092057B"/>
    <w:rsid w:val="009206E8"/>
    <w:rsid w:val="00922580"/>
    <w:rsid w:val="00923F44"/>
    <w:rsid w:val="009333BE"/>
    <w:rsid w:val="0093381D"/>
    <w:rsid w:val="00934FF4"/>
    <w:rsid w:val="00935B58"/>
    <w:rsid w:val="0094181C"/>
    <w:rsid w:val="00941A76"/>
    <w:rsid w:val="00941C5C"/>
    <w:rsid w:val="00942041"/>
    <w:rsid w:val="00945B92"/>
    <w:rsid w:val="009470B1"/>
    <w:rsid w:val="00950306"/>
    <w:rsid w:val="00951054"/>
    <w:rsid w:val="00951607"/>
    <w:rsid w:val="00952F18"/>
    <w:rsid w:val="0095462D"/>
    <w:rsid w:val="00960B1E"/>
    <w:rsid w:val="0096117E"/>
    <w:rsid w:val="00961F20"/>
    <w:rsid w:val="00965DB5"/>
    <w:rsid w:val="00971C9A"/>
    <w:rsid w:val="009742D3"/>
    <w:rsid w:val="009774D3"/>
    <w:rsid w:val="0098086C"/>
    <w:rsid w:val="009809F7"/>
    <w:rsid w:val="00980C66"/>
    <w:rsid w:val="00981C6C"/>
    <w:rsid w:val="009830E0"/>
    <w:rsid w:val="00984FF7"/>
    <w:rsid w:val="0098525D"/>
    <w:rsid w:val="0098679B"/>
    <w:rsid w:val="00986AF7"/>
    <w:rsid w:val="0098717E"/>
    <w:rsid w:val="00987475"/>
    <w:rsid w:val="00992802"/>
    <w:rsid w:val="00996ECC"/>
    <w:rsid w:val="009A098F"/>
    <w:rsid w:val="009A160E"/>
    <w:rsid w:val="009A2D0B"/>
    <w:rsid w:val="009A4279"/>
    <w:rsid w:val="009A46E8"/>
    <w:rsid w:val="009A59CE"/>
    <w:rsid w:val="009B03E6"/>
    <w:rsid w:val="009B048F"/>
    <w:rsid w:val="009B1739"/>
    <w:rsid w:val="009B6945"/>
    <w:rsid w:val="009C0117"/>
    <w:rsid w:val="009C3B26"/>
    <w:rsid w:val="009C60DD"/>
    <w:rsid w:val="009C655B"/>
    <w:rsid w:val="009D0F0D"/>
    <w:rsid w:val="009D4270"/>
    <w:rsid w:val="009D6B41"/>
    <w:rsid w:val="009E0188"/>
    <w:rsid w:val="009E15A6"/>
    <w:rsid w:val="009E4CD1"/>
    <w:rsid w:val="009E71DE"/>
    <w:rsid w:val="009F0886"/>
    <w:rsid w:val="009F12CB"/>
    <w:rsid w:val="009F2764"/>
    <w:rsid w:val="009F6163"/>
    <w:rsid w:val="009F6B84"/>
    <w:rsid w:val="009F7448"/>
    <w:rsid w:val="009F7CDF"/>
    <w:rsid w:val="00A0091C"/>
    <w:rsid w:val="00A0226E"/>
    <w:rsid w:val="00A0260E"/>
    <w:rsid w:val="00A03E5D"/>
    <w:rsid w:val="00A1004D"/>
    <w:rsid w:val="00A10828"/>
    <w:rsid w:val="00A10969"/>
    <w:rsid w:val="00A115FB"/>
    <w:rsid w:val="00A11F36"/>
    <w:rsid w:val="00A17A13"/>
    <w:rsid w:val="00A222F7"/>
    <w:rsid w:val="00A2274B"/>
    <w:rsid w:val="00A22F96"/>
    <w:rsid w:val="00A232A0"/>
    <w:rsid w:val="00A247FB"/>
    <w:rsid w:val="00A2534F"/>
    <w:rsid w:val="00A26D70"/>
    <w:rsid w:val="00A27C2B"/>
    <w:rsid w:val="00A30DEA"/>
    <w:rsid w:val="00A32200"/>
    <w:rsid w:val="00A32EEE"/>
    <w:rsid w:val="00A348E1"/>
    <w:rsid w:val="00A34DDA"/>
    <w:rsid w:val="00A36D4D"/>
    <w:rsid w:val="00A3748D"/>
    <w:rsid w:val="00A4071F"/>
    <w:rsid w:val="00A4075B"/>
    <w:rsid w:val="00A45B5B"/>
    <w:rsid w:val="00A500D0"/>
    <w:rsid w:val="00A516B6"/>
    <w:rsid w:val="00A53D52"/>
    <w:rsid w:val="00A53E09"/>
    <w:rsid w:val="00A54470"/>
    <w:rsid w:val="00A54F98"/>
    <w:rsid w:val="00A553B1"/>
    <w:rsid w:val="00A60719"/>
    <w:rsid w:val="00A61CAD"/>
    <w:rsid w:val="00A63B38"/>
    <w:rsid w:val="00A7119E"/>
    <w:rsid w:val="00A719A8"/>
    <w:rsid w:val="00A71E8D"/>
    <w:rsid w:val="00A72F3C"/>
    <w:rsid w:val="00A769F4"/>
    <w:rsid w:val="00A80B11"/>
    <w:rsid w:val="00A82AB2"/>
    <w:rsid w:val="00A83534"/>
    <w:rsid w:val="00A852A5"/>
    <w:rsid w:val="00A87035"/>
    <w:rsid w:val="00A8726E"/>
    <w:rsid w:val="00A901AE"/>
    <w:rsid w:val="00A90B4C"/>
    <w:rsid w:val="00A91787"/>
    <w:rsid w:val="00A91F13"/>
    <w:rsid w:val="00A927A2"/>
    <w:rsid w:val="00A92C96"/>
    <w:rsid w:val="00A9317D"/>
    <w:rsid w:val="00A9377F"/>
    <w:rsid w:val="00AA281A"/>
    <w:rsid w:val="00AA444F"/>
    <w:rsid w:val="00AA5996"/>
    <w:rsid w:val="00AA7D2A"/>
    <w:rsid w:val="00AB343A"/>
    <w:rsid w:val="00AB3AF6"/>
    <w:rsid w:val="00AB50EC"/>
    <w:rsid w:val="00AB6048"/>
    <w:rsid w:val="00AB7A37"/>
    <w:rsid w:val="00AC3E61"/>
    <w:rsid w:val="00AC4090"/>
    <w:rsid w:val="00AC65D8"/>
    <w:rsid w:val="00AD15A1"/>
    <w:rsid w:val="00AD1CEF"/>
    <w:rsid w:val="00AD4BCC"/>
    <w:rsid w:val="00AD5D11"/>
    <w:rsid w:val="00AD614C"/>
    <w:rsid w:val="00AD6E17"/>
    <w:rsid w:val="00AD7158"/>
    <w:rsid w:val="00AE064A"/>
    <w:rsid w:val="00AE0B9D"/>
    <w:rsid w:val="00AE1D25"/>
    <w:rsid w:val="00AE2073"/>
    <w:rsid w:val="00AE2542"/>
    <w:rsid w:val="00AE2DA1"/>
    <w:rsid w:val="00AE3D1F"/>
    <w:rsid w:val="00AE3D4A"/>
    <w:rsid w:val="00AF008F"/>
    <w:rsid w:val="00AF2D2C"/>
    <w:rsid w:val="00AF339D"/>
    <w:rsid w:val="00AF5EAB"/>
    <w:rsid w:val="00AF651A"/>
    <w:rsid w:val="00AF67BA"/>
    <w:rsid w:val="00AF7BC2"/>
    <w:rsid w:val="00AF7D97"/>
    <w:rsid w:val="00B00A00"/>
    <w:rsid w:val="00B00C19"/>
    <w:rsid w:val="00B01571"/>
    <w:rsid w:val="00B045E9"/>
    <w:rsid w:val="00B05F11"/>
    <w:rsid w:val="00B06D26"/>
    <w:rsid w:val="00B06FF6"/>
    <w:rsid w:val="00B116BD"/>
    <w:rsid w:val="00B11EF3"/>
    <w:rsid w:val="00B1359C"/>
    <w:rsid w:val="00B14EF1"/>
    <w:rsid w:val="00B15A52"/>
    <w:rsid w:val="00B21E9F"/>
    <w:rsid w:val="00B2568B"/>
    <w:rsid w:val="00B30833"/>
    <w:rsid w:val="00B41229"/>
    <w:rsid w:val="00B51D77"/>
    <w:rsid w:val="00B53478"/>
    <w:rsid w:val="00B54302"/>
    <w:rsid w:val="00B55196"/>
    <w:rsid w:val="00B55659"/>
    <w:rsid w:val="00B55DBB"/>
    <w:rsid w:val="00B56B20"/>
    <w:rsid w:val="00B570C2"/>
    <w:rsid w:val="00B5712A"/>
    <w:rsid w:val="00B6138C"/>
    <w:rsid w:val="00B63BCD"/>
    <w:rsid w:val="00B72286"/>
    <w:rsid w:val="00B753A8"/>
    <w:rsid w:val="00B756A0"/>
    <w:rsid w:val="00B76749"/>
    <w:rsid w:val="00B774FA"/>
    <w:rsid w:val="00B77724"/>
    <w:rsid w:val="00B81445"/>
    <w:rsid w:val="00B81A2B"/>
    <w:rsid w:val="00B81FE0"/>
    <w:rsid w:val="00B8488C"/>
    <w:rsid w:val="00B8751C"/>
    <w:rsid w:val="00B90C85"/>
    <w:rsid w:val="00B9350E"/>
    <w:rsid w:val="00B9613D"/>
    <w:rsid w:val="00B96AA2"/>
    <w:rsid w:val="00BA4AE6"/>
    <w:rsid w:val="00BB107A"/>
    <w:rsid w:val="00BB1B66"/>
    <w:rsid w:val="00BB2C9A"/>
    <w:rsid w:val="00BB3087"/>
    <w:rsid w:val="00BB3414"/>
    <w:rsid w:val="00BB5003"/>
    <w:rsid w:val="00BC0EE4"/>
    <w:rsid w:val="00BC1297"/>
    <w:rsid w:val="00BC1569"/>
    <w:rsid w:val="00BC1573"/>
    <w:rsid w:val="00BC1918"/>
    <w:rsid w:val="00BC278F"/>
    <w:rsid w:val="00BC376B"/>
    <w:rsid w:val="00BC4651"/>
    <w:rsid w:val="00BC5834"/>
    <w:rsid w:val="00BC684E"/>
    <w:rsid w:val="00BC6C16"/>
    <w:rsid w:val="00BC797E"/>
    <w:rsid w:val="00BD0705"/>
    <w:rsid w:val="00BD1D1A"/>
    <w:rsid w:val="00BD440D"/>
    <w:rsid w:val="00BD5B86"/>
    <w:rsid w:val="00BD60F7"/>
    <w:rsid w:val="00BD6145"/>
    <w:rsid w:val="00BD73B8"/>
    <w:rsid w:val="00BD7C6E"/>
    <w:rsid w:val="00BD7D61"/>
    <w:rsid w:val="00BE1590"/>
    <w:rsid w:val="00BE209F"/>
    <w:rsid w:val="00BE23F9"/>
    <w:rsid w:val="00BE30F3"/>
    <w:rsid w:val="00BE54A0"/>
    <w:rsid w:val="00BE69D8"/>
    <w:rsid w:val="00BE6A3D"/>
    <w:rsid w:val="00BE6AE3"/>
    <w:rsid w:val="00BF40C2"/>
    <w:rsid w:val="00BF49FE"/>
    <w:rsid w:val="00C01D86"/>
    <w:rsid w:val="00C022E2"/>
    <w:rsid w:val="00C0641C"/>
    <w:rsid w:val="00C10B2A"/>
    <w:rsid w:val="00C113D5"/>
    <w:rsid w:val="00C127A5"/>
    <w:rsid w:val="00C139D7"/>
    <w:rsid w:val="00C15994"/>
    <w:rsid w:val="00C15CCD"/>
    <w:rsid w:val="00C172B6"/>
    <w:rsid w:val="00C2157E"/>
    <w:rsid w:val="00C2451C"/>
    <w:rsid w:val="00C2550B"/>
    <w:rsid w:val="00C26D63"/>
    <w:rsid w:val="00C270C6"/>
    <w:rsid w:val="00C27A33"/>
    <w:rsid w:val="00C27D76"/>
    <w:rsid w:val="00C30A9C"/>
    <w:rsid w:val="00C313CF"/>
    <w:rsid w:val="00C31B96"/>
    <w:rsid w:val="00C36718"/>
    <w:rsid w:val="00C37BB5"/>
    <w:rsid w:val="00C41F8B"/>
    <w:rsid w:val="00C4392E"/>
    <w:rsid w:val="00C43B4C"/>
    <w:rsid w:val="00C443FE"/>
    <w:rsid w:val="00C44851"/>
    <w:rsid w:val="00C45DF3"/>
    <w:rsid w:val="00C47CF4"/>
    <w:rsid w:val="00C50E39"/>
    <w:rsid w:val="00C52106"/>
    <w:rsid w:val="00C52453"/>
    <w:rsid w:val="00C527EB"/>
    <w:rsid w:val="00C52D57"/>
    <w:rsid w:val="00C539AE"/>
    <w:rsid w:val="00C53BCB"/>
    <w:rsid w:val="00C60C20"/>
    <w:rsid w:val="00C628A6"/>
    <w:rsid w:val="00C64CA0"/>
    <w:rsid w:val="00C64D9B"/>
    <w:rsid w:val="00C673DF"/>
    <w:rsid w:val="00C67B3B"/>
    <w:rsid w:val="00C67BC2"/>
    <w:rsid w:val="00C70FA9"/>
    <w:rsid w:val="00C726BD"/>
    <w:rsid w:val="00C74157"/>
    <w:rsid w:val="00C75699"/>
    <w:rsid w:val="00C80279"/>
    <w:rsid w:val="00C823D2"/>
    <w:rsid w:val="00C826AB"/>
    <w:rsid w:val="00C847DE"/>
    <w:rsid w:val="00C91B85"/>
    <w:rsid w:val="00C94587"/>
    <w:rsid w:val="00C963FD"/>
    <w:rsid w:val="00C97A6C"/>
    <w:rsid w:val="00C97F3A"/>
    <w:rsid w:val="00CA0B89"/>
    <w:rsid w:val="00CA1E25"/>
    <w:rsid w:val="00CA254A"/>
    <w:rsid w:val="00CA3FC5"/>
    <w:rsid w:val="00CA4A9C"/>
    <w:rsid w:val="00CA5750"/>
    <w:rsid w:val="00CA6AD8"/>
    <w:rsid w:val="00CB105A"/>
    <w:rsid w:val="00CB25A4"/>
    <w:rsid w:val="00CB4C97"/>
    <w:rsid w:val="00CB52D0"/>
    <w:rsid w:val="00CB533C"/>
    <w:rsid w:val="00CB6676"/>
    <w:rsid w:val="00CC032B"/>
    <w:rsid w:val="00CC1B34"/>
    <w:rsid w:val="00CC2C94"/>
    <w:rsid w:val="00CC7A88"/>
    <w:rsid w:val="00CD0B05"/>
    <w:rsid w:val="00CD0B4C"/>
    <w:rsid w:val="00CD10FF"/>
    <w:rsid w:val="00CD19E2"/>
    <w:rsid w:val="00CD1E6B"/>
    <w:rsid w:val="00CD527F"/>
    <w:rsid w:val="00CD5810"/>
    <w:rsid w:val="00CD6746"/>
    <w:rsid w:val="00CD6C70"/>
    <w:rsid w:val="00CE1B17"/>
    <w:rsid w:val="00CE23E8"/>
    <w:rsid w:val="00CE7B0E"/>
    <w:rsid w:val="00CF1ACA"/>
    <w:rsid w:val="00CF7FD5"/>
    <w:rsid w:val="00D0112D"/>
    <w:rsid w:val="00D01C91"/>
    <w:rsid w:val="00D04A29"/>
    <w:rsid w:val="00D04BAE"/>
    <w:rsid w:val="00D04D3F"/>
    <w:rsid w:val="00D05A0A"/>
    <w:rsid w:val="00D06241"/>
    <w:rsid w:val="00D06392"/>
    <w:rsid w:val="00D077DC"/>
    <w:rsid w:val="00D07D63"/>
    <w:rsid w:val="00D12492"/>
    <w:rsid w:val="00D13542"/>
    <w:rsid w:val="00D15499"/>
    <w:rsid w:val="00D2070F"/>
    <w:rsid w:val="00D226EA"/>
    <w:rsid w:val="00D26ECF"/>
    <w:rsid w:val="00D27664"/>
    <w:rsid w:val="00D3274E"/>
    <w:rsid w:val="00D35BF4"/>
    <w:rsid w:val="00D37451"/>
    <w:rsid w:val="00D42355"/>
    <w:rsid w:val="00D43F7B"/>
    <w:rsid w:val="00D46BE1"/>
    <w:rsid w:val="00D54483"/>
    <w:rsid w:val="00D603FC"/>
    <w:rsid w:val="00D64E74"/>
    <w:rsid w:val="00D65080"/>
    <w:rsid w:val="00D6625D"/>
    <w:rsid w:val="00D7108F"/>
    <w:rsid w:val="00D7181A"/>
    <w:rsid w:val="00D71E8D"/>
    <w:rsid w:val="00D73296"/>
    <w:rsid w:val="00D807CE"/>
    <w:rsid w:val="00D81548"/>
    <w:rsid w:val="00D8483A"/>
    <w:rsid w:val="00D874CD"/>
    <w:rsid w:val="00D8783A"/>
    <w:rsid w:val="00D87861"/>
    <w:rsid w:val="00D916A4"/>
    <w:rsid w:val="00D91DCB"/>
    <w:rsid w:val="00D928E0"/>
    <w:rsid w:val="00D963F8"/>
    <w:rsid w:val="00D970B0"/>
    <w:rsid w:val="00DA1381"/>
    <w:rsid w:val="00DA1B39"/>
    <w:rsid w:val="00DA377A"/>
    <w:rsid w:val="00DA3C9C"/>
    <w:rsid w:val="00DB30C3"/>
    <w:rsid w:val="00DB4033"/>
    <w:rsid w:val="00DB58C8"/>
    <w:rsid w:val="00DC31D4"/>
    <w:rsid w:val="00DC3B0F"/>
    <w:rsid w:val="00DC495E"/>
    <w:rsid w:val="00DC5B71"/>
    <w:rsid w:val="00DC6979"/>
    <w:rsid w:val="00DC79DA"/>
    <w:rsid w:val="00DD24F3"/>
    <w:rsid w:val="00DD403E"/>
    <w:rsid w:val="00DD6ECF"/>
    <w:rsid w:val="00DD7AA6"/>
    <w:rsid w:val="00DE1673"/>
    <w:rsid w:val="00DE229B"/>
    <w:rsid w:val="00DE230A"/>
    <w:rsid w:val="00DE35A9"/>
    <w:rsid w:val="00DE4054"/>
    <w:rsid w:val="00DE6BE7"/>
    <w:rsid w:val="00DF0311"/>
    <w:rsid w:val="00DF23A9"/>
    <w:rsid w:val="00DF2BE6"/>
    <w:rsid w:val="00DF47D9"/>
    <w:rsid w:val="00DF4899"/>
    <w:rsid w:val="00DF4C30"/>
    <w:rsid w:val="00DF6BDD"/>
    <w:rsid w:val="00DF76A6"/>
    <w:rsid w:val="00E0099C"/>
    <w:rsid w:val="00E01E59"/>
    <w:rsid w:val="00E031A0"/>
    <w:rsid w:val="00E03591"/>
    <w:rsid w:val="00E043AB"/>
    <w:rsid w:val="00E05DA3"/>
    <w:rsid w:val="00E10E28"/>
    <w:rsid w:val="00E14B65"/>
    <w:rsid w:val="00E1799B"/>
    <w:rsid w:val="00E17BD8"/>
    <w:rsid w:val="00E21D56"/>
    <w:rsid w:val="00E22EB9"/>
    <w:rsid w:val="00E23290"/>
    <w:rsid w:val="00E23A3B"/>
    <w:rsid w:val="00E25688"/>
    <w:rsid w:val="00E259D6"/>
    <w:rsid w:val="00E25DB7"/>
    <w:rsid w:val="00E2631E"/>
    <w:rsid w:val="00E278C2"/>
    <w:rsid w:val="00E30BC6"/>
    <w:rsid w:val="00E31C5D"/>
    <w:rsid w:val="00E334D0"/>
    <w:rsid w:val="00E340F8"/>
    <w:rsid w:val="00E369BD"/>
    <w:rsid w:val="00E37489"/>
    <w:rsid w:val="00E466BF"/>
    <w:rsid w:val="00E46DBC"/>
    <w:rsid w:val="00E54245"/>
    <w:rsid w:val="00E550EF"/>
    <w:rsid w:val="00E55C2E"/>
    <w:rsid w:val="00E56467"/>
    <w:rsid w:val="00E63A82"/>
    <w:rsid w:val="00E63AB2"/>
    <w:rsid w:val="00E65790"/>
    <w:rsid w:val="00E65F4A"/>
    <w:rsid w:val="00E67BB4"/>
    <w:rsid w:val="00E71EE6"/>
    <w:rsid w:val="00E73830"/>
    <w:rsid w:val="00E747F4"/>
    <w:rsid w:val="00E753DE"/>
    <w:rsid w:val="00E75AD7"/>
    <w:rsid w:val="00E81E99"/>
    <w:rsid w:val="00E832C4"/>
    <w:rsid w:val="00E83E95"/>
    <w:rsid w:val="00E84A08"/>
    <w:rsid w:val="00E85283"/>
    <w:rsid w:val="00E85962"/>
    <w:rsid w:val="00E85C25"/>
    <w:rsid w:val="00E91BE1"/>
    <w:rsid w:val="00E931A4"/>
    <w:rsid w:val="00E94522"/>
    <w:rsid w:val="00E957C1"/>
    <w:rsid w:val="00E96551"/>
    <w:rsid w:val="00E97ED3"/>
    <w:rsid w:val="00EA0C0C"/>
    <w:rsid w:val="00EA1882"/>
    <w:rsid w:val="00EA1CDE"/>
    <w:rsid w:val="00EA665F"/>
    <w:rsid w:val="00EA79CF"/>
    <w:rsid w:val="00EA7FE4"/>
    <w:rsid w:val="00EB097C"/>
    <w:rsid w:val="00EB25DB"/>
    <w:rsid w:val="00EB272F"/>
    <w:rsid w:val="00EB2824"/>
    <w:rsid w:val="00EB5D62"/>
    <w:rsid w:val="00EB5E48"/>
    <w:rsid w:val="00EB6C0D"/>
    <w:rsid w:val="00EC054E"/>
    <w:rsid w:val="00EC22C0"/>
    <w:rsid w:val="00EC49F1"/>
    <w:rsid w:val="00EC54BF"/>
    <w:rsid w:val="00EC5BE6"/>
    <w:rsid w:val="00EC5C03"/>
    <w:rsid w:val="00EC5F04"/>
    <w:rsid w:val="00EC5FB2"/>
    <w:rsid w:val="00ED0447"/>
    <w:rsid w:val="00ED21F8"/>
    <w:rsid w:val="00ED5551"/>
    <w:rsid w:val="00ED6E3B"/>
    <w:rsid w:val="00ED7727"/>
    <w:rsid w:val="00EE0444"/>
    <w:rsid w:val="00EE06EB"/>
    <w:rsid w:val="00EE0872"/>
    <w:rsid w:val="00EE5031"/>
    <w:rsid w:val="00EE5246"/>
    <w:rsid w:val="00EF1FAC"/>
    <w:rsid w:val="00EF2848"/>
    <w:rsid w:val="00EF36EB"/>
    <w:rsid w:val="00EF3FDE"/>
    <w:rsid w:val="00EF6DE0"/>
    <w:rsid w:val="00F00714"/>
    <w:rsid w:val="00F02F32"/>
    <w:rsid w:val="00F0325C"/>
    <w:rsid w:val="00F04613"/>
    <w:rsid w:val="00F10C93"/>
    <w:rsid w:val="00F10E73"/>
    <w:rsid w:val="00F10E8D"/>
    <w:rsid w:val="00F13058"/>
    <w:rsid w:val="00F15276"/>
    <w:rsid w:val="00F16BA1"/>
    <w:rsid w:val="00F17625"/>
    <w:rsid w:val="00F1784C"/>
    <w:rsid w:val="00F22253"/>
    <w:rsid w:val="00F2381F"/>
    <w:rsid w:val="00F23826"/>
    <w:rsid w:val="00F2643F"/>
    <w:rsid w:val="00F270E8"/>
    <w:rsid w:val="00F323B3"/>
    <w:rsid w:val="00F32BFB"/>
    <w:rsid w:val="00F33C62"/>
    <w:rsid w:val="00F36501"/>
    <w:rsid w:val="00F3701C"/>
    <w:rsid w:val="00F40E3E"/>
    <w:rsid w:val="00F45A07"/>
    <w:rsid w:val="00F45C03"/>
    <w:rsid w:val="00F46035"/>
    <w:rsid w:val="00F47912"/>
    <w:rsid w:val="00F51510"/>
    <w:rsid w:val="00F516A7"/>
    <w:rsid w:val="00F537DE"/>
    <w:rsid w:val="00F6151D"/>
    <w:rsid w:val="00F62B16"/>
    <w:rsid w:val="00F64738"/>
    <w:rsid w:val="00F66613"/>
    <w:rsid w:val="00F7177C"/>
    <w:rsid w:val="00F7242D"/>
    <w:rsid w:val="00F8038A"/>
    <w:rsid w:val="00F83EA7"/>
    <w:rsid w:val="00F85C8A"/>
    <w:rsid w:val="00F90259"/>
    <w:rsid w:val="00F9096B"/>
    <w:rsid w:val="00F91642"/>
    <w:rsid w:val="00F92F3E"/>
    <w:rsid w:val="00FA00FD"/>
    <w:rsid w:val="00FA0CB9"/>
    <w:rsid w:val="00FB467B"/>
    <w:rsid w:val="00FB7B4C"/>
    <w:rsid w:val="00FB7E1D"/>
    <w:rsid w:val="00FC156D"/>
    <w:rsid w:val="00FC2009"/>
    <w:rsid w:val="00FC56D7"/>
    <w:rsid w:val="00FD0321"/>
    <w:rsid w:val="00FD2EFA"/>
    <w:rsid w:val="00FD34DE"/>
    <w:rsid w:val="00FD5922"/>
    <w:rsid w:val="00FD6526"/>
    <w:rsid w:val="00FD66AD"/>
    <w:rsid w:val="00FD6725"/>
    <w:rsid w:val="00FD6B1F"/>
    <w:rsid w:val="00FD70FE"/>
    <w:rsid w:val="00FD7B2D"/>
    <w:rsid w:val="00FD7B4B"/>
    <w:rsid w:val="00FE1399"/>
    <w:rsid w:val="00FE3E25"/>
    <w:rsid w:val="00FE3FE4"/>
    <w:rsid w:val="00FE47B7"/>
    <w:rsid w:val="00FE6391"/>
    <w:rsid w:val="00FE72CE"/>
    <w:rsid w:val="00FF08AF"/>
    <w:rsid w:val="00FF18BE"/>
    <w:rsid w:val="00FF1C02"/>
    <w:rsid w:val="00FF1C39"/>
    <w:rsid w:val="00FF3209"/>
    <w:rsid w:val="00FF5A4D"/>
    <w:rsid w:val="00FF6489"/>
    <w:rsid w:val="00FF65DB"/>
    <w:rsid w:val="00FF72CA"/>
    <w:rsid w:val="00FF7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B019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6F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06F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06F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258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B5D6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64F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7608DB"/>
    <w:pPr>
      <w:keepNext/>
      <w:spacing w:before="360" w:after="360" w:line="360" w:lineRule="auto"/>
      <w:jc w:val="center"/>
      <w:outlineLvl w:val="6"/>
    </w:pPr>
    <w:rPr>
      <w:rFonts w:asciiTheme="majorBidi" w:eastAsia="SimSun" w:hAnsiTheme="majorBidi"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126794"/>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126794"/>
    <w:rPr>
      <w:rFonts w:ascii="Calibri" w:hAnsi="Calibri"/>
      <w:szCs w:val="21"/>
    </w:rPr>
  </w:style>
  <w:style w:type="paragraph" w:customStyle="1" w:styleId="Default">
    <w:name w:val="Default"/>
    <w:rsid w:val="00126794"/>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F6C62"/>
    <w:rPr>
      <w:color w:val="0000FF" w:themeColor="hyperlink"/>
      <w:u w:val="single"/>
    </w:rPr>
  </w:style>
  <w:style w:type="character" w:customStyle="1" w:styleId="Heading1Char">
    <w:name w:val="Heading 1 Char"/>
    <w:basedOn w:val="DefaultParagraphFont"/>
    <w:link w:val="Heading1"/>
    <w:uiPriority w:val="9"/>
    <w:rsid w:val="00B06FF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06FF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06FF6"/>
    <w:rPr>
      <w:rFonts w:asciiTheme="majorHAnsi" w:eastAsiaTheme="majorEastAsia" w:hAnsiTheme="majorHAnsi" w:cstheme="majorBidi"/>
      <w:b/>
      <w:bCs/>
      <w:color w:val="4F81BD" w:themeColor="accent1"/>
    </w:rPr>
  </w:style>
  <w:style w:type="table" w:styleId="TableGrid">
    <w:name w:val="Table Grid"/>
    <w:basedOn w:val="TableNormal"/>
    <w:rsid w:val="00B06F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D50FB"/>
    <w:pPr>
      <w:ind w:left="720"/>
      <w:contextualSpacing/>
    </w:pPr>
  </w:style>
  <w:style w:type="paragraph" w:styleId="BalloonText">
    <w:name w:val="Balloon Text"/>
    <w:basedOn w:val="Normal"/>
    <w:link w:val="BalloonTextChar"/>
    <w:uiPriority w:val="99"/>
    <w:semiHidden/>
    <w:unhideWhenUsed/>
    <w:rsid w:val="009F12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2CB"/>
    <w:rPr>
      <w:rFonts w:ascii="Tahoma" w:hAnsi="Tahoma" w:cs="Tahoma"/>
      <w:sz w:val="16"/>
      <w:szCs w:val="16"/>
    </w:rPr>
  </w:style>
  <w:style w:type="paragraph" w:styleId="Caption">
    <w:name w:val="caption"/>
    <w:basedOn w:val="Normal"/>
    <w:next w:val="Normal"/>
    <w:uiPriority w:val="99"/>
    <w:qFormat/>
    <w:rsid w:val="009F12CB"/>
    <w:pPr>
      <w:spacing w:after="0" w:line="240" w:lineRule="auto"/>
    </w:pPr>
    <w:rPr>
      <w:rFonts w:ascii="Times New Roman" w:eastAsia="MS Mincho" w:hAnsi="Times New Roman" w:cs="Times New Roman"/>
      <w:b/>
      <w:bCs/>
      <w:sz w:val="20"/>
      <w:szCs w:val="20"/>
      <w:lang w:eastAsia="ja-JP"/>
    </w:rPr>
  </w:style>
  <w:style w:type="character" w:styleId="CommentReference">
    <w:name w:val="annotation reference"/>
    <w:basedOn w:val="DefaultParagraphFont"/>
    <w:uiPriority w:val="99"/>
    <w:semiHidden/>
    <w:unhideWhenUsed/>
    <w:rsid w:val="009F12CB"/>
    <w:rPr>
      <w:sz w:val="16"/>
      <w:szCs w:val="16"/>
    </w:rPr>
  </w:style>
  <w:style w:type="paragraph" w:styleId="CommentText">
    <w:name w:val="annotation text"/>
    <w:basedOn w:val="Normal"/>
    <w:link w:val="CommentTextChar"/>
    <w:uiPriority w:val="99"/>
    <w:unhideWhenUsed/>
    <w:rsid w:val="009F12CB"/>
    <w:pPr>
      <w:spacing w:line="240" w:lineRule="auto"/>
    </w:pPr>
    <w:rPr>
      <w:rFonts w:eastAsia="Batang"/>
      <w:sz w:val="20"/>
      <w:szCs w:val="20"/>
      <w:lang w:val="pt-BR" w:eastAsia="en-US"/>
    </w:rPr>
  </w:style>
  <w:style w:type="character" w:customStyle="1" w:styleId="CommentTextChar">
    <w:name w:val="Comment Text Char"/>
    <w:basedOn w:val="DefaultParagraphFont"/>
    <w:link w:val="CommentText"/>
    <w:uiPriority w:val="99"/>
    <w:rsid w:val="009F12CB"/>
    <w:rPr>
      <w:rFonts w:eastAsia="Batang"/>
      <w:sz w:val="20"/>
      <w:szCs w:val="20"/>
      <w:lang w:val="pt-BR" w:eastAsia="en-US"/>
    </w:rPr>
  </w:style>
  <w:style w:type="paragraph" w:styleId="Title">
    <w:name w:val="Title"/>
    <w:basedOn w:val="Normal"/>
    <w:next w:val="Normal"/>
    <w:link w:val="TitleChar"/>
    <w:uiPriority w:val="10"/>
    <w:qFormat/>
    <w:rsid w:val="009F1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TitleChar">
    <w:name w:val="Title Char"/>
    <w:basedOn w:val="DefaultParagraphFont"/>
    <w:link w:val="Title"/>
    <w:uiPriority w:val="10"/>
    <w:rsid w:val="009F12CB"/>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Heading4Char">
    <w:name w:val="Heading 4 Char"/>
    <w:basedOn w:val="DefaultParagraphFont"/>
    <w:link w:val="Heading4"/>
    <w:uiPriority w:val="9"/>
    <w:rsid w:val="009225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B5D62"/>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CC1B34"/>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AF651A"/>
    <w:pPr>
      <w:spacing w:after="100"/>
    </w:pPr>
  </w:style>
  <w:style w:type="paragraph" w:styleId="TOC2">
    <w:name w:val="toc 2"/>
    <w:basedOn w:val="Normal"/>
    <w:next w:val="Normal"/>
    <w:autoRedefine/>
    <w:uiPriority w:val="39"/>
    <w:unhideWhenUsed/>
    <w:rsid w:val="00AF651A"/>
    <w:pPr>
      <w:spacing w:after="100"/>
      <w:ind w:left="220"/>
    </w:pPr>
  </w:style>
  <w:style w:type="paragraph" w:styleId="TOC3">
    <w:name w:val="toc 3"/>
    <w:basedOn w:val="Normal"/>
    <w:next w:val="Normal"/>
    <w:autoRedefine/>
    <w:uiPriority w:val="39"/>
    <w:unhideWhenUsed/>
    <w:rsid w:val="00AF651A"/>
    <w:pPr>
      <w:spacing w:after="100"/>
      <w:ind w:left="440"/>
    </w:pPr>
  </w:style>
  <w:style w:type="paragraph" w:styleId="TOC4">
    <w:name w:val="toc 4"/>
    <w:basedOn w:val="Normal"/>
    <w:next w:val="Normal"/>
    <w:autoRedefine/>
    <w:uiPriority w:val="39"/>
    <w:unhideWhenUsed/>
    <w:rsid w:val="00D37451"/>
    <w:pPr>
      <w:spacing w:after="100"/>
      <w:ind w:left="660"/>
    </w:pPr>
  </w:style>
  <w:style w:type="paragraph" w:styleId="CommentSubject">
    <w:name w:val="annotation subject"/>
    <w:basedOn w:val="CommentText"/>
    <w:next w:val="CommentText"/>
    <w:link w:val="CommentSubjectChar"/>
    <w:uiPriority w:val="99"/>
    <w:semiHidden/>
    <w:unhideWhenUsed/>
    <w:rsid w:val="00F15276"/>
    <w:rPr>
      <w:rFonts w:eastAsiaTheme="minorEastAsia"/>
      <w:b/>
      <w:bCs/>
      <w:lang w:val="en-GB" w:eastAsia="zh-CN"/>
    </w:rPr>
  </w:style>
  <w:style w:type="character" w:customStyle="1" w:styleId="CommentSubjectChar">
    <w:name w:val="Comment Subject Char"/>
    <w:basedOn w:val="CommentTextChar"/>
    <w:link w:val="CommentSubject"/>
    <w:uiPriority w:val="99"/>
    <w:semiHidden/>
    <w:rsid w:val="00F15276"/>
    <w:rPr>
      <w:rFonts w:eastAsia="Batang"/>
      <w:b/>
      <w:bCs/>
      <w:sz w:val="20"/>
      <w:szCs w:val="20"/>
      <w:lang w:val="pt-BR" w:eastAsia="en-US"/>
    </w:rPr>
  </w:style>
  <w:style w:type="paragraph" w:styleId="FootnoteText">
    <w:name w:val="footnote text"/>
    <w:basedOn w:val="Normal"/>
    <w:link w:val="FootnoteTextChar"/>
    <w:unhideWhenUsed/>
    <w:rsid w:val="00DC6979"/>
    <w:pPr>
      <w:spacing w:after="0" w:line="240" w:lineRule="auto"/>
    </w:pPr>
    <w:rPr>
      <w:sz w:val="20"/>
      <w:szCs w:val="20"/>
    </w:rPr>
  </w:style>
  <w:style w:type="character" w:customStyle="1" w:styleId="FootnoteTextChar">
    <w:name w:val="Footnote Text Char"/>
    <w:basedOn w:val="DefaultParagraphFont"/>
    <w:link w:val="FootnoteText"/>
    <w:rsid w:val="00DC6979"/>
    <w:rPr>
      <w:sz w:val="20"/>
      <w:szCs w:val="20"/>
    </w:rPr>
  </w:style>
  <w:style w:type="character" w:styleId="FootnoteReference">
    <w:name w:val="footnote reference"/>
    <w:basedOn w:val="DefaultParagraphFont"/>
    <w:unhideWhenUsed/>
    <w:rsid w:val="00DC6979"/>
    <w:rPr>
      <w:vertAlign w:val="superscript"/>
    </w:rPr>
  </w:style>
  <w:style w:type="paragraph" w:styleId="EndnoteText">
    <w:name w:val="endnote text"/>
    <w:basedOn w:val="Normal"/>
    <w:link w:val="EndnoteTextChar"/>
    <w:uiPriority w:val="99"/>
    <w:semiHidden/>
    <w:unhideWhenUsed/>
    <w:rsid w:val="007277D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277D6"/>
    <w:rPr>
      <w:sz w:val="20"/>
      <w:szCs w:val="20"/>
    </w:rPr>
  </w:style>
  <w:style w:type="character" w:styleId="EndnoteReference">
    <w:name w:val="endnote reference"/>
    <w:basedOn w:val="DefaultParagraphFont"/>
    <w:uiPriority w:val="99"/>
    <w:semiHidden/>
    <w:unhideWhenUsed/>
    <w:rsid w:val="007277D6"/>
    <w:rPr>
      <w:vertAlign w:val="superscript"/>
    </w:rPr>
  </w:style>
  <w:style w:type="character" w:customStyle="1" w:styleId="mixed-citation">
    <w:name w:val="mixed-citation"/>
    <w:basedOn w:val="DefaultParagraphFont"/>
    <w:rsid w:val="009E0188"/>
  </w:style>
  <w:style w:type="character" w:customStyle="1" w:styleId="apple-converted-space">
    <w:name w:val="apple-converted-space"/>
    <w:basedOn w:val="DefaultParagraphFont"/>
    <w:rsid w:val="009E0188"/>
  </w:style>
  <w:style w:type="character" w:customStyle="1" w:styleId="nowrap">
    <w:name w:val="nowrap"/>
    <w:basedOn w:val="DefaultParagraphFont"/>
    <w:rsid w:val="009E0188"/>
  </w:style>
  <w:style w:type="character" w:customStyle="1" w:styleId="Heading6Char">
    <w:name w:val="Heading 6 Char"/>
    <w:basedOn w:val="DefaultParagraphFont"/>
    <w:link w:val="Heading6"/>
    <w:uiPriority w:val="9"/>
    <w:rsid w:val="00864FC7"/>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unhideWhenUsed/>
    <w:rsid w:val="00E83E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3E95"/>
  </w:style>
  <w:style w:type="paragraph" w:styleId="Footer">
    <w:name w:val="footer"/>
    <w:basedOn w:val="Normal"/>
    <w:link w:val="FooterChar"/>
    <w:uiPriority w:val="99"/>
    <w:unhideWhenUsed/>
    <w:rsid w:val="00E83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3E95"/>
  </w:style>
  <w:style w:type="paragraph" w:customStyle="1" w:styleId="boxedsummary">
    <w:name w:val="boxed summary"/>
    <w:rsid w:val="00B045E9"/>
    <w:pPr>
      <w:pBdr>
        <w:top w:val="single" w:sz="6" w:space="16" w:color="auto"/>
        <w:left w:val="single" w:sz="6" w:space="16" w:color="auto"/>
        <w:bottom w:val="single" w:sz="6" w:space="16" w:color="auto"/>
        <w:right w:val="single" w:sz="6" w:space="16" w:color="auto"/>
      </w:pBdr>
      <w:tabs>
        <w:tab w:val="left" w:pos="6840"/>
      </w:tabs>
      <w:spacing w:after="240" w:line="360" w:lineRule="auto"/>
      <w:ind w:left="432" w:right="432" w:firstLine="720"/>
      <w:jc w:val="both"/>
    </w:pPr>
    <w:rPr>
      <w:rFonts w:ascii="Times New Roman" w:eastAsia="Times New Roman" w:hAnsi="Times New Roman" w:cs="Times New Roman"/>
      <w:szCs w:val="20"/>
      <w:lang w:eastAsia="en-US"/>
    </w:rPr>
  </w:style>
  <w:style w:type="character" w:customStyle="1" w:styleId="Heading7Char">
    <w:name w:val="Heading 7 Char"/>
    <w:basedOn w:val="DefaultParagraphFont"/>
    <w:link w:val="Heading7"/>
    <w:uiPriority w:val="9"/>
    <w:rsid w:val="007608DB"/>
    <w:rPr>
      <w:rFonts w:asciiTheme="majorBidi" w:eastAsia="SimSun" w:hAnsiTheme="majorBidi" w:cstheme="majorBidi"/>
      <w:b/>
      <w:sz w:val="24"/>
      <w:szCs w:val="24"/>
    </w:rPr>
  </w:style>
  <w:style w:type="paragraph" w:styleId="BodyTextIndent">
    <w:name w:val="Body Text Indent"/>
    <w:basedOn w:val="Normal"/>
    <w:link w:val="BodyTextIndentChar"/>
    <w:uiPriority w:val="99"/>
    <w:unhideWhenUsed/>
    <w:rsid w:val="007608DB"/>
    <w:pPr>
      <w:spacing w:after="480" w:line="360" w:lineRule="auto"/>
      <w:ind w:firstLine="720"/>
    </w:pPr>
    <w:rPr>
      <w:rFonts w:asciiTheme="majorBidi" w:hAnsiTheme="majorBidi" w:cstheme="majorBidi"/>
    </w:rPr>
  </w:style>
  <w:style w:type="character" w:customStyle="1" w:styleId="BodyTextIndentChar">
    <w:name w:val="Body Text Indent Char"/>
    <w:basedOn w:val="DefaultParagraphFont"/>
    <w:link w:val="BodyTextIndent"/>
    <w:uiPriority w:val="99"/>
    <w:rsid w:val="007608DB"/>
    <w:rPr>
      <w:rFonts w:asciiTheme="majorBidi" w:hAnsiTheme="majorBidi" w:cstheme="majorBidi"/>
    </w:rPr>
  </w:style>
  <w:style w:type="paragraph" w:customStyle="1" w:styleId="sectionheading">
    <w:name w:val="section heading"/>
    <w:rsid w:val="007608DB"/>
    <w:pPr>
      <w:keepNext/>
      <w:tabs>
        <w:tab w:val="left" w:pos="720"/>
      </w:tabs>
      <w:suppressAutoHyphens/>
      <w:spacing w:before="120" w:after="240" w:line="360" w:lineRule="auto"/>
      <w:ind w:left="576" w:hanging="576"/>
      <w:jc w:val="both"/>
    </w:pPr>
    <w:rPr>
      <w:rFonts w:ascii="Times New Roman" w:eastAsia="Times New Roman" w:hAnsi="Times New Roman" w:cs="Times New Roman"/>
      <w:b/>
      <w:szCs w:val="20"/>
      <w:lang w:eastAsia="en-US"/>
    </w:rPr>
  </w:style>
  <w:style w:type="paragraph" w:customStyle="1" w:styleId="BodyText1">
    <w:name w:val="Body Text1"/>
    <w:rsid w:val="00A27C2B"/>
    <w:pPr>
      <w:tabs>
        <w:tab w:val="left" w:pos="0"/>
      </w:tabs>
      <w:spacing w:after="240" w:line="360" w:lineRule="auto"/>
      <w:ind w:firstLine="576"/>
      <w:jc w:val="both"/>
    </w:pPr>
    <w:rPr>
      <w:rFonts w:ascii="Times New Roman" w:eastAsia="Times New Roman" w:hAnsi="Times New Roman" w:cs="Times New Roman"/>
      <w:szCs w:val="20"/>
      <w:lang w:eastAsia="en-US"/>
    </w:rPr>
  </w:style>
  <w:style w:type="paragraph" w:styleId="BodyText">
    <w:name w:val="Body Text"/>
    <w:basedOn w:val="Normal"/>
    <w:link w:val="BodyTextChar"/>
    <w:uiPriority w:val="99"/>
    <w:semiHidden/>
    <w:unhideWhenUsed/>
    <w:rsid w:val="00BC1573"/>
    <w:pPr>
      <w:spacing w:after="120"/>
    </w:pPr>
  </w:style>
  <w:style w:type="character" w:customStyle="1" w:styleId="BodyTextChar">
    <w:name w:val="Body Text Char"/>
    <w:basedOn w:val="DefaultParagraphFont"/>
    <w:link w:val="BodyText"/>
    <w:uiPriority w:val="99"/>
    <w:semiHidden/>
    <w:rsid w:val="00BC1573"/>
  </w:style>
  <w:style w:type="paragraph" w:styleId="BodyTextIndent2">
    <w:name w:val="Body Text Indent 2"/>
    <w:basedOn w:val="Normal"/>
    <w:link w:val="BodyTextIndent2Char"/>
    <w:uiPriority w:val="99"/>
    <w:unhideWhenUsed/>
    <w:rsid w:val="00BC1573"/>
    <w:pPr>
      <w:tabs>
        <w:tab w:val="left" w:pos="720"/>
      </w:tabs>
      <w:spacing w:before="480" w:after="480" w:line="360" w:lineRule="auto"/>
      <w:ind w:left="720" w:hanging="720"/>
    </w:pPr>
    <w:rPr>
      <w:rFonts w:ascii="Times New Roman" w:eastAsia="Times New Roman" w:hAnsi="Times New Roman" w:cs="Times New Roman"/>
      <w:szCs w:val="20"/>
      <w:lang w:eastAsia="en-US"/>
    </w:rPr>
  </w:style>
  <w:style w:type="character" w:customStyle="1" w:styleId="BodyTextIndent2Char">
    <w:name w:val="Body Text Indent 2 Char"/>
    <w:basedOn w:val="DefaultParagraphFont"/>
    <w:link w:val="BodyTextIndent2"/>
    <w:uiPriority w:val="99"/>
    <w:rsid w:val="00BC1573"/>
    <w:rPr>
      <w:rFonts w:ascii="Times New Roman" w:eastAsia="Times New Roman" w:hAnsi="Times New Roman" w:cs="Times New Roman"/>
      <w:szCs w:val="20"/>
      <w:lang w:eastAsia="en-US"/>
    </w:rPr>
  </w:style>
  <w:style w:type="paragraph" w:styleId="Revision">
    <w:name w:val="Revision"/>
    <w:hidden/>
    <w:uiPriority w:val="99"/>
    <w:semiHidden/>
    <w:rsid w:val="000517AC"/>
    <w:pPr>
      <w:spacing w:after="0" w:line="240" w:lineRule="auto"/>
    </w:pPr>
  </w:style>
  <w:style w:type="paragraph" w:styleId="NoSpacing">
    <w:name w:val="No Spacing"/>
    <w:uiPriority w:val="1"/>
    <w:qFormat/>
    <w:rsid w:val="00CB4C97"/>
    <w:pPr>
      <w:spacing w:after="0" w:line="240" w:lineRule="auto"/>
    </w:pPr>
  </w:style>
  <w:style w:type="character" w:customStyle="1" w:styleId="fontstyle01">
    <w:name w:val="fontstyle01"/>
    <w:basedOn w:val="DefaultParagraphFont"/>
    <w:rsid w:val="00311BAE"/>
    <w:rPr>
      <w:rFonts w:ascii="MyriadPro-SemiCn" w:hAnsi="MyriadPro-SemiC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6F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06F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06F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258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B5D6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64F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7608DB"/>
    <w:pPr>
      <w:keepNext/>
      <w:spacing w:before="360" w:after="360" w:line="360" w:lineRule="auto"/>
      <w:jc w:val="center"/>
      <w:outlineLvl w:val="6"/>
    </w:pPr>
    <w:rPr>
      <w:rFonts w:asciiTheme="majorBidi" w:eastAsia="SimSun" w:hAnsiTheme="majorBidi"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126794"/>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126794"/>
    <w:rPr>
      <w:rFonts w:ascii="Calibri" w:hAnsi="Calibri"/>
      <w:szCs w:val="21"/>
    </w:rPr>
  </w:style>
  <w:style w:type="paragraph" w:customStyle="1" w:styleId="Default">
    <w:name w:val="Default"/>
    <w:rsid w:val="00126794"/>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F6C62"/>
    <w:rPr>
      <w:color w:val="0000FF" w:themeColor="hyperlink"/>
      <w:u w:val="single"/>
    </w:rPr>
  </w:style>
  <w:style w:type="character" w:customStyle="1" w:styleId="Heading1Char">
    <w:name w:val="Heading 1 Char"/>
    <w:basedOn w:val="DefaultParagraphFont"/>
    <w:link w:val="Heading1"/>
    <w:uiPriority w:val="9"/>
    <w:rsid w:val="00B06FF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06FF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06FF6"/>
    <w:rPr>
      <w:rFonts w:asciiTheme="majorHAnsi" w:eastAsiaTheme="majorEastAsia" w:hAnsiTheme="majorHAnsi" w:cstheme="majorBidi"/>
      <w:b/>
      <w:bCs/>
      <w:color w:val="4F81BD" w:themeColor="accent1"/>
    </w:rPr>
  </w:style>
  <w:style w:type="table" w:styleId="TableGrid">
    <w:name w:val="Table Grid"/>
    <w:basedOn w:val="TableNormal"/>
    <w:rsid w:val="00B06F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D50FB"/>
    <w:pPr>
      <w:ind w:left="720"/>
      <w:contextualSpacing/>
    </w:pPr>
  </w:style>
  <w:style w:type="paragraph" w:styleId="BalloonText">
    <w:name w:val="Balloon Text"/>
    <w:basedOn w:val="Normal"/>
    <w:link w:val="BalloonTextChar"/>
    <w:uiPriority w:val="99"/>
    <w:semiHidden/>
    <w:unhideWhenUsed/>
    <w:rsid w:val="009F12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2CB"/>
    <w:rPr>
      <w:rFonts w:ascii="Tahoma" w:hAnsi="Tahoma" w:cs="Tahoma"/>
      <w:sz w:val="16"/>
      <w:szCs w:val="16"/>
    </w:rPr>
  </w:style>
  <w:style w:type="paragraph" w:styleId="Caption">
    <w:name w:val="caption"/>
    <w:basedOn w:val="Normal"/>
    <w:next w:val="Normal"/>
    <w:uiPriority w:val="99"/>
    <w:qFormat/>
    <w:rsid w:val="009F12CB"/>
    <w:pPr>
      <w:spacing w:after="0" w:line="240" w:lineRule="auto"/>
    </w:pPr>
    <w:rPr>
      <w:rFonts w:ascii="Times New Roman" w:eastAsia="MS Mincho" w:hAnsi="Times New Roman" w:cs="Times New Roman"/>
      <w:b/>
      <w:bCs/>
      <w:sz w:val="20"/>
      <w:szCs w:val="20"/>
      <w:lang w:eastAsia="ja-JP"/>
    </w:rPr>
  </w:style>
  <w:style w:type="character" w:styleId="CommentReference">
    <w:name w:val="annotation reference"/>
    <w:basedOn w:val="DefaultParagraphFont"/>
    <w:uiPriority w:val="99"/>
    <w:semiHidden/>
    <w:unhideWhenUsed/>
    <w:rsid w:val="009F12CB"/>
    <w:rPr>
      <w:sz w:val="16"/>
      <w:szCs w:val="16"/>
    </w:rPr>
  </w:style>
  <w:style w:type="paragraph" w:styleId="CommentText">
    <w:name w:val="annotation text"/>
    <w:basedOn w:val="Normal"/>
    <w:link w:val="CommentTextChar"/>
    <w:uiPriority w:val="99"/>
    <w:unhideWhenUsed/>
    <w:rsid w:val="009F12CB"/>
    <w:pPr>
      <w:spacing w:line="240" w:lineRule="auto"/>
    </w:pPr>
    <w:rPr>
      <w:rFonts w:eastAsia="Batang"/>
      <w:sz w:val="20"/>
      <w:szCs w:val="20"/>
      <w:lang w:val="pt-BR" w:eastAsia="en-US"/>
    </w:rPr>
  </w:style>
  <w:style w:type="character" w:customStyle="1" w:styleId="CommentTextChar">
    <w:name w:val="Comment Text Char"/>
    <w:basedOn w:val="DefaultParagraphFont"/>
    <w:link w:val="CommentText"/>
    <w:uiPriority w:val="99"/>
    <w:rsid w:val="009F12CB"/>
    <w:rPr>
      <w:rFonts w:eastAsia="Batang"/>
      <w:sz w:val="20"/>
      <w:szCs w:val="20"/>
      <w:lang w:val="pt-BR" w:eastAsia="en-US"/>
    </w:rPr>
  </w:style>
  <w:style w:type="paragraph" w:styleId="Title">
    <w:name w:val="Title"/>
    <w:basedOn w:val="Normal"/>
    <w:next w:val="Normal"/>
    <w:link w:val="TitleChar"/>
    <w:uiPriority w:val="10"/>
    <w:qFormat/>
    <w:rsid w:val="009F1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TitleChar">
    <w:name w:val="Title Char"/>
    <w:basedOn w:val="DefaultParagraphFont"/>
    <w:link w:val="Title"/>
    <w:uiPriority w:val="10"/>
    <w:rsid w:val="009F12CB"/>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Heading4Char">
    <w:name w:val="Heading 4 Char"/>
    <w:basedOn w:val="DefaultParagraphFont"/>
    <w:link w:val="Heading4"/>
    <w:uiPriority w:val="9"/>
    <w:rsid w:val="009225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B5D62"/>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CC1B34"/>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AF651A"/>
    <w:pPr>
      <w:spacing w:after="100"/>
    </w:pPr>
  </w:style>
  <w:style w:type="paragraph" w:styleId="TOC2">
    <w:name w:val="toc 2"/>
    <w:basedOn w:val="Normal"/>
    <w:next w:val="Normal"/>
    <w:autoRedefine/>
    <w:uiPriority w:val="39"/>
    <w:unhideWhenUsed/>
    <w:rsid w:val="00AF651A"/>
    <w:pPr>
      <w:spacing w:after="100"/>
      <w:ind w:left="220"/>
    </w:pPr>
  </w:style>
  <w:style w:type="paragraph" w:styleId="TOC3">
    <w:name w:val="toc 3"/>
    <w:basedOn w:val="Normal"/>
    <w:next w:val="Normal"/>
    <w:autoRedefine/>
    <w:uiPriority w:val="39"/>
    <w:unhideWhenUsed/>
    <w:rsid w:val="00AF651A"/>
    <w:pPr>
      <w:spacing w:after="100"/>
      <w:ind w:left="440"/>
    </w:pPr>
  </w:style>
  <w:style w:type="paragraph" w:styleId="TOC4">
    <w:name w:val="toc 4"/>
    <w:basedOn w:val="Normal"/>
    <w:next w:val="Normal"/>
    <w:autoRedefine/>
    <w:uiPriority w:val="39"/>
    <w:unhideWhenUsed/>
    <w:rsid w:val="00D37451"/>
    <w:pPr>
      <w:spacing w:after="100"/>
      <w:ind w:left="660"/>
    </w:pPr>
  </w:style>
  <w:style w:type="paragraph" w:styleId="CommentSubject">
    <w:name w:val="annotation subject"/>
    <w:basedOn w:val="CommentText"/>
    <w:next w:val="CommentText"/>
    <w:link w:val="CommentSubjectChar"/>
    <w:uiPriority w:val="99"/>
    <w:semiHidden/>
    <w:unhideWhenUsed/>
    <w:rsid w:val="00F15276"/>
    <w:rPr>
      <w:rFonts w:eastAsiaTheme="minorEastAsia"/>
      <w:b/>
      <w:bCs/>
      <w:lang w:val="en-GB" w:eastAsia="zh-CN"/>
    </w:rPr>
  </w:style>
  <w:style w:type="character" w:customStyle="1" w:styleId="CommentSubjectChar">
    <w:name w:val="Comment Subject Char"/>
    <w:basedOn w:val="CommentTextChar"/>
    <w:link w:val="CommentSubject"/>
    <w:uiPriority w:val="99"/>
    <w:semiHidden/>
    <w:rsid w:val="00F15276"/>
    <w:rPr>
      <w:rFonts w:eastAsia="Batang"/>
      <w:b/>
      <w:bCs/>
      <w:sz w:val="20"/>
      <w:szCs w:val="20"/>
      <w:lang w:val="pt-BR" w:eastAsia="en-US"/>
    </w:rPr>
  </w:style>
  <w:style w:type="paragraph" w:styleId="FootnoteText">
    <w:name w:val="footnote text"/>
    <w:basedOn w:val="Normal"/>
    <w:link w:val="FootnoteTextChar"/>
    <w:unhideWhenUsed/>
    <w:rsid w:val="00DC6979"/>
    <w:pPr>
      <w:spacing w:after="0" w:line="240" w:lineRule="auto"/>
    </w:pPr>
    <w:rPr>
      <w:sz w:val="20"/>
      <w:szCs w:val="20"/>
    </w:rPr>
  </w:style>
  <w:style w:type="character" w:customStyle="1" w:styleId="FootnoteTextChar">
    <w:name w:val="Footnote Text Char"/>
    <w:basedOn w:val="DefaultParagraphFont"/>
    <w:link w:val="FootnoteText"/>
    <w:rsid w:val="00DC6979"/>
    <w:rPr>
      <w:sz w:val="20"/>
      <w:szCs w:val="20"/>
    </w:rPr>
  </w:style>
  <w:style w:type="character" w:styleId="FootnoteReference">
    <w:name w:val="footnote reference"/>
    <w:basedOn w:val="DefaultParagraphFont"/>
    <w:unhideWhenUsed/>
    <w:rsid w:val="00DC6979"/>
    <w:rPr>
      <w:vertAlign w:val="superscript"/>
    </w:rPr>
  </w:style>
  <w:style w:type="paragraph" w:styleId="EndnoteText">
    <w:name w:val="endnote text"/>
    <w:basedOn w:val="Normal"/>
    <w:link w:val="EndnoteTextChar"/>
    <w:uiPriority w:val="99"/>
    <w:semiHidden/>
    <w:unhideWhenUsed/>
    <w:rsid w:val="007277D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277D6"/>
    <w:rPr>
      <w:sz w:val="20"/>
      <w:szCs w:val="20"/>
    </w:rPr>
  </w:style>
  <w:style w:type="character" w:styleId="EndnoteReference">
    <w:name w:val="endnote reference"/>
    <w:basedOn w:val="DefaultParagraphFont"/>
    <w:uiPriority w:val="99"/>
    <w:semiHidden/>
    <w:unhideWhenUsed/>
    <w:rsid w:val="007277D6"/>
    <w:rPr>
      <w:vertAlign w:val="superscript"/>
    </w:rPr>
  </w:style>
  <w:style w:type="character" w:customStyle="1" w:styleId="mixed-citation">
    <w:name w:val="mixed-citation"/>
    <w:basedOn w:val="DefaultParagraphFont"/>
    <w:rsid w:val="009E0188"/>
  </w:style>
  <w:style w:type="character" w:customStyle="1" w:styleId="apple-converted-space">
    <w:name w:val="apple-converted-space"/>
    <w:basedOn w:val="DefaultParagraphFont"/>
    <w:rsid w:val="009E0188"/>
  </w:style>
  <w:style w:type="character" w:customStyle="1" w:styleId="nowrap">
    <w:name w:val="nowrap"/>
    <w:basedOn w:val="DefaultParagraphFont"/>
    <w:rsid w:val="009E0188"/>
  </w:style>
  <w:style w:type="character" w:customStyle="1" w:styleId="Heading6Char">
    <w:name w:val="Heading 6 Char"/>
    <w:basedOn w:val="DefaultParagraphFont"/>
    <w:link w:val="Heading6"/>
    <w:uiPriority w:val="9"/>
    <w:rsid w:val="00864FC7"/>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unhideWhenUsed/>
    <w:rsid w:val="00E83E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3E95"/>
  </w:style>
  <w:style w:type="paragraph" w:styleId="Footer">
    <w:name w:val="footer"/>
    <w:basedOn w:val="Normal"/>
    <w:link w:val="FooterChar"/>
    <w:uiPriority w:val="99"/>
    <w:unhideWhenUsed/>
    <w:rsid w:val="00E83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3E95"/>
  </w:style>
  <w:style w:type="paragraph" w:customStyle="1" w:styleId="boxedsummary">
    <w:name w:val="boxed summary"/>
    <w:rsid w:val="00B045E9"/>
    <w:pPr>
      <w:pBdr>
        <w:top w:val="single" w:sz="6" w:space="16" w:color="auto"/>
        <w:left w:val="single" w:sz="6" w:space="16" w:color="auto"/>
        <w:bottom w:val="single" w:sz="6" w:space="16" w:color="auto"/>
        <w:right w:val="single" w:sz="6" w:space="16" w:color="auto"/>
      </w:pBdr>
      <w:tabs>
        <w:tab w:val="left" w:pos="6840"/>
      </w:tabs>
      <w:spacing w:after="240" w:line="360" w:lineRule="auto"/>
      <w:ind w:left="432" w:right="432" w:firstLine="720"/>
      <w:jc w:val="both"/>
    </w:pPr>
    <w:rPr>
      <w:rFonts w:ascii="Times New Roman" w:eastAsia="Times New Roman" w:hAnsi="Times New Roman" w:cs="Times New Roman"/>
      <w:szCs w:val="20"/>
      <w:lang w:eastAsia="en-US"/>
    </w:rPr>
  </w:style>
  <w:style w:type="character" w:customStyle="1" w:styleId="Heading7Char">
    <w:name w:val="Heading 7 Char"/>
    <w:basedOn w:val="DefaultParagraphFont"/>
    <w:link w:val="Heading7"/>
    <w:uiPriority w:val="9"/>
    <w:rsid w:val="007608DB"/>
    <w:rPr>
      <w:rFonts w:asciiTheme="majorBidi" w:eastAsia="SimSun" w:hAnsiTheme="majorBidi" w:cstheme="majorBidi"/>
      <w:b/>
      <w:sz w:val="24"/>
      <w:szCs w:val="24"/>
    </w:rPr>
  </w:style>
  <w:style w:type="paragraph" w:styleId="BodyTextIndent">
    <w:name w:val="Body Text Indent"/>
    <w:basedOn w:val="Normal"/>
    <w:link w:val="BodyTextIndentChar"/>
    <w:uiPriority w:val="99"/>
    <w:unhideWhenUsed/>
    <w:rsid w:val="007608DB"/>
    <w:pPr>
      <w:spacing w:after="480" w:line="360" w:lineRule="auto"/>
      <w:ind w:firstLine="720"/>
    </w:pPr>
    <w:rPr>
      <w:rFonts w:asciiTheme="majorBidi" w:hAnsiTheme="majorBidi" w:cstheme="majorBidi"/>
    </w:rPr>
  </w:style>
  <w:style w:type="character" w:customStyle="1" w:styleId="BodyTextIndentChar">
    <w:name w:val="Body Text Indent Char"/>
    <w:basedOn w:val="DefaultParagraphFont"/>
    <w:link w:val="BodyTextIndent"/>
    <w:uiPriority w:val="99"/>
    <w:rsid w:val="007608DB"/>
    <w:rPr>
      <w:rFonts w:asciiTheme="majorBidi" w:hAnsiTheme="majorBidi" w:cstheme="majorBidi"/>
    </w:rPr>
  </w:style>
  <w:style w:type="paragraph" w:customStyle="1" w:styleId="sectionheading">
    <w:name w:val="section heading"/>
    <w:rsid w:val="007608DB"/>
    <w:pPr>
      <w:keepNext/>
      <w:tabs>
        <w:tab w:val="left" w:pos="720"/>
      </w:tabs>
      <w:suppressAutoHyphens/>
      <w:spacing w:before="120" w:after="240" w:line="360" w:lineRule="auto"/>
      <w:ind w:left="576" w:hanging="576"/>
      <w:jc w:val="both"/>
    </w:pPr>
    <w:rPr>
      <w:rFonts w:ascii="Times New Roman" w:eastAsia="Times New Roman" w:hAnsi="Times New Roman" w:cs="Times New Roman"/>
      <w:b/>
      <w:szCs w:val="20"/>
      <w:lang w:eastAsia="en-US"/>
    </w:rPr>
  </w:style>
  <w:style w:type="paragraph" w:customStyle="1" w:styleId="BodyText1">
    <w:name w:val="Body Text1"/>
    <w:rsid w:val="00A27C2B"/>
    <w:pPr>
      <w:tabs>
        <w:tab w:val="left" w:pos="0"/>
      </w:tabs>
      <w:spacing w:after="240" w:line="360" w:lineRule="auto"/>
      <w:ind w:firstLine="576"/>
      <w:jc w:val="both"/>
    </w:pPr>
    <w:rPr>
      <w:rFonts w:ascii="Times New Roman" w:eastAsia="Times New Roman" w:hAnsi="Times New Roman" w:cs="Times New Roman"/>
      <w:szCs w:val="20"/>
      <w:lang w:eastAsia="en-US"/>
    </w:rPr>
  </w:style>
  <w:style w:type="paragraph" w:styleId="BodyText">
    <w:name w:val="Body Text"/>
    <w:basedOn w:val="Normal"/>
    <w:link w:val="BodyTextChar"/>
    <w:uiPriority w:val="99"/>
    <w:semiHidden/>
    <w:unhideWhenUsed/>
    <w:rsid w:val="00BC1573"/>
    <w:pPr>
      <w:spacing w:after="120"/>
    </w:pPr>
  </w:style>
  <w:style w:type="character" w:customStyle="1" w:styleId="BodyTextChar">
    <w:name w:val="Body Text Char"/>
    <w:basedOn w:val="DefaultParagraphFont"/>
    <w:link w:val="BodyText"/>
    <w:uiPriority w:val="99"/>
    <w:semiHidden/>
    <w:rsid w:val="00BC1573"/>
  </w:style>
  <w:style w:type="paragraph" w:styleId="BodyTextIndent2">
    <w:name w:val="Body Text Indent 2"/>
    <w:basedOn w:val="Normal"/>
    <w:link w:val="BodyTextIndent2Char"/>
    <w:uiPriority w:val="99"/>
    <w:unhideWhenUsed/>
    <w:rsid w:val="00BC1573"/>
    <w:pPr>
      <w:tabs>
        <w:tab w:val="left" w:pos="720"/>
      </w:tabs>
      <w:spacing w:before="480" w:after="480" w:line="360" w:lineRule="auto"/>
      <w:ind w:left="720" w:hanging="720"/>
    </w:pPr>
    <w:rPr>
      <w:rFonts w:ascii="Times New Roman" w:eastAsia="Times New Roman" w:hAnsi="Times New Roman" w:cs="Times New Roman"/>
      <w:szCs w:val="20"/>
      <w:lang w:eastAsia="en-US"/>
    </w:rPr>
  </w:style>
  <w:style w:type="character" w:customStyle="1" w:styleId="BodyTextIndent2Char">
    <w:name w:val="Body Text Indent 2 Char"/>
    <w:basedOn w:val="DefaultParagraphFont"/>
    <w:link w:val="BodyTextIndent2"/>
    <w:uiPriority w:val="99"/>
    <w:rsid w:val="00BC1573"/>
    <w:rPr>
      <w:rFonts w:ascii="Times New Roman" w:eastAsia="Times New Roman" w:hAnsi="Times New Roman" w:cs="Times New Roman"/>
      <w:szCs w:val="20"/>
      <w:lang w:eastAsia="en-US"/>
    </w:rPr>
  </w:style>
  <w:style w:type="paragraph" w:styleId="Revision">
    <w:name w:val="Revision"/>
    <w:hidden/>
    <w:uiPriority w:val="99"/>
    <w:semiHidden/>
    <w:rsid w:val="000517AC"/>
    <w:pPr>
      <w:spacing w:after="0" w:line="240" w:lineRule="auto"/>
    </w:pPr>
  </w:style>
  <w:style w:type="paragraph" w:styleId="NoSpacing">
    <w:name w:val="No Spacing"/>
    <w:uiPriority w:val="1"/>
    <w:qFormat/>
    <w:rsid w:val="00CB4C97"/>
    <w:pPr>
      <w:spacing w:after="0" w:line="240" w:lineRule="auto"/>
    </w:pPr>
  </w:style>
  <w:style w:type="character" w:customStyle="1" w:styleId="fontstyle01">
    <w:name w:val="fontstyle01"/>
    <w:basedOn w:val="DefaultParagraphFont"/>
    <w:rsid w:val="00311BAE"/>
    <w:rPr>
      <w:rFonts w:ascii="MyriadPro-SemiCn" w:hAnsi="MyriadPro-SemiC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75151">
      <w:bodyDiv w:val="1"/>
      <w:marLeft w:val="0"/>
      <w:marRight w:val="0"/>
      <w:marTop w:val="0"/>
      <w:marBottom w:val="0"/>
      <w:divBdr>
        <w:top w:val="none" w:sz="0" w:space="0" w:color="auto"/>
        <w:left w:val="none" w:sz="0" w:space="0" w:color="auto"/>
        <w:bottom w:val="none" w:sz="0" w:space="0" w:color="auto"/>
        <w:right w:val="none" w:sz="0" w:space="0" w:color="auto"/>
      </w:divBdr>
    </w:div>
    <w:div w:id="510294893">
      <w:bodyDiv w:val="1"/>
      <w:marLeft w:val="0"/>
      <w:marRight w:val="0"/>
      <w:marTop w:val="0"/>
      <w:marBottom w:val="0"/>
      <w:divBdr>
        <w:top w:val="none" w:sz="0" w:space="0" w:color="auto"/>
        <w:left w:val="none" w:sz="0" w:space="0" w:color="auto"/>
        <w:bottom w:val="none" w:sz="0" w:space="0" w:color="auto"/>
        <w:right w:val="none" w:sz="0" w:space="0" w:color="auto"/>
      </w:divBdr>
    </w:div>
    <w:div w:id="568463297">
      <w:bodyDiv w:val="1"/>
      <w:marLeft w:val="0"/>
      <w:marRight w:val="0"/>
      <w:marTop w:val="0"/>
      <w:marBottom w:val="0"/>
      <w:divBdr>
        <w:top w:val="none" w:sz="0" w:space="0" w:color="auto"/>
        <w:left w:val="none" w:sz="0" w:space="0" w:color="auto"/>
        <w:bottom w:val="none" w:sz="0" w:space="0" w:color="auto"/>
        <w:right w:val="none" w:sz="0" w:space="0" w:color="auto"/>
      </w:divBdr>
    </w:div>
    <w:div w:id="978415232">
      <w:bodyDiv w:val="1"/>
      <w:marLeft w:val="0"/>
      <w:marRight w:val="0"/>
      <w:marTop w:val="0"/>
      <w:marBottom w:val="0"/>
      <w:divBdr>
        <w:top w:val="none" w:sz="0" w:space="0" w:color="auto"/>
        <w:left w:val="none" w:sz="0" w:space="0" w:color="auto"/>
        <w:bottom w:val="none" w:sz="0" w:space="0" w:color="auto"/>
        <w:right w:val="none" w:sz="0" w:space="0" w:color="auto"/>
      </w:divBdr>
    </w:div>
    <w:div w:id="1210678771">
      <w:bodyDiv w:val="1"/>
      <w:marLeft w:val="0"/>
      <w:marRight w:val="0"/>
      <w:marTop w:val="0"/>
      <w:marBottom w:val="0"/>
      <w:divBdr>
        <w:top w:val="none" w:sz="0" w:space="0" w:color="auto"/>
        <w:left w:val="none" w:sz="0" w:space="0" w:color="auto"/>
        <w:bottom w:val="none" w:sz="0" w:space="0" w:color="auto"/>
        <w:right w:val="none" w:sz="0" w:space="0" w:color="auto"/>
      </w:divBdr>
    </w:div>
    <w:div w:id="1775898619">
      <w:bodyDiv w:val="1"/>
      <w:marLeft w:val="0"/>
      <w:marRight w:val="0"/>
      <w:marTop w:val="0"/>
      <w:marBottom w:val="0"/>
      <w:divBdr>
        <w:top w:val="none" w:sz="0" w:space="0" w:color="auto"/>
        <w:left w:val="none" w:sz="0" w:space="0" w:color="auto"/>
        <w:bottom w:val="none" w:sz="0" w:space="0" w:color="auto"/>
        <w:right w:val="none" w:sz="0" w:space="0" w:color="auto"/>
      </w:divBdr>
      <w:divsChild>
        <w:div w:id="450979418">
          <w:marLeft w:val="547"/>
          <w:marRight w:val="0"/>
          <w:marTop w:val="200"/>
          <w:marBottom w:val="0"/>
          <w:divBdr>
            <w:top w:val="none" w:sz="0" w:space="0" w:color="auto"/>
            <w:left w:val="none" w:sz="0" w:space="0" w:color="auto"/>
            <w:bottom w:val="none" w:sz="0" w:space="0" w:color="auto"/>
            <w:right w:val="none" w:sz="0" w:space="0" w:color="auto"/>
          </w:divBdr>
        </w:div>
        <w:div w:id="522550286">
          <w:marLeft w:val="547"/>
          <w:marRight w:val="0"/>
          <w:marTop w:val="200"/>
          <w:marBottom w:val="0"/>
          <w:divBdr>
            <w:top w:val="none" w:sz="0" w:space="0" w:color="auto"/>
            <w:left w:val="none" w:sz="0" w:space="0" w:color="auto"/>
            <w:bottom w:val="none" w:sz="0" w:space="0" w:color="auto"/>
            <w:right w:val="none" w:sz="0" w:space="0" w:color="auto"/>
          </w:divBdr>
        </w:div>
        <w:div w:id="608971031">
          <w:marLeft w:val="547"/>
          <w:marRight w:val="0"/>
          <w:marTop w:val="200"/>
          <w:marBottom w:val="0"/>
          <w:divBdr>
            <w:top w:val="none" w:sz="0" w:space="0" w:color="auto"/>
            <w:left w:val="none" w:sz="0" w:space="0" w:color="auto"/>
            <w:bottom w:val="none" w:sz="0" w:space="0" w:color="auto"/>
            <w:right w:val="none" w:sz="0" w:space="0" w:color="auto"/>
          </w:divBdr>
        </w:div>
        <w:div w:id="1472483689">
          <w:marLeft w:val="547"/>
          <w:marRight w:val="0"/>
          <w:marTop w:val="200"/>
          <w:marBottom w:val="0"/>
          <w:divBdr>
            <w:top w:val="none" w:sz="0" w:space="0" w:color="auto"/>
            <w:left w:val="none" w:sz="0" w:space="0" w:color="auto"/>
            <w:bottom w:val="none" w:sz="0" w:space="0" w:color="auto"/>
            <w:right w:val="none" w:sz="0" w:space="0" w:color="auto"/>
          </w:divBdr>
        </w:div>
        <w:div w:id="2124618021">
          <w:marLeft w:val="547"/>
          <w:marRight w:val="0"/>
          <w:marTop w:val="200"/>
          <w:marBottom w:val="0"/>
          <w:divBdr>
            <w:top w:val="none" w:sz="0" w:space="0" w:color="auto"/>
            <w:left w:val="none" w:sz="0" w:space="0" w:color="auto"/>
            <w:bottom w:val="none" w:sz="0" w:space="0" w:color="auto"/>
            <w:right w:val="none" w:sz="0" w:space="0" w:color="auto"/>
          </w:divBdr>
        </w:div>
      </w:divsChild>
    </w:div>
    <w:div w:id="2002342004">
      <w:bodyDiv w:val="1"/>
      <w:marLeft w:val="0"/>
      <w:marRight w:val="0"/>
      <w:marTop w:val="0"/>
      <w:marBottom w:val="0"/>
      <w:divBdr>
        <w:top w:val="none" w:sz="0" w:space="0" w:color="auto"/>
        <w:left w:val="none" w:sz="0" w:space="0" w:color="auto"/>
        <w:bottom w:val="none" w:sz="0" w:space="0" w:color="auto"/>
        <w:right w:val="none" w:sz="0" w:space="0" w:color="auto"/>
      </w:divBdr>
      <w:divsChild>
        <w:div w:id="500392405">
          <w:marLeft w:val="547"/>
          <w:marRight w:val="0"/>
          <w:marTop w:val="200"/>
          <w:marBottom w:val="0"/>
          <w:divBdr>
            <w:top w:val="none" w:sz="0" w:space="0" w:color="auto"/>
            <w:left w:val="none" w:sz="0" w:space="0" w:color="auto"/>
            <w:bottom w:val="none" w:sz="0" w:space="0" w:color="auto"/>
            <w:right w:val="none" w:sz="0" w:space="0" w:color="auto"/>
          </w:divBdr>
        </w:div>
        <w:div w:id="543370362">
          <w:marLeft w:val="547"/>
          <w:marRight w:val="0"/>
          <w:marTop w:val="200"/>
          <w:marBottom w:val="0"/>
          <w:divBdr>
            <w:top w:val="none" w:sz="0" w:space="0" w:color="auto"/>
            <w:left w:val="none" w:sz="0" w:space="0" w:color="auto"/>
            <w:bottom w:val="none" w:sz="0" w:space="0" w:color="auto"/>
            <w:right w:val="none" w:sz="0" w:space="0" w:color="auto"/>
          </w:divBdr>
        </w:div>
        <w:div w:id="592935992">
          <w:marLeft w:val="547"/>
          <w:marRight w:val="0"/>
          <w:marTop w:val="200"/>
          <w:marBottom w:val="0"/>
          <w:divBdr>
            <w:top w:val="none" w:sz="0" w:space="0" w:color="auto"/>
            <w:left w:val="none" w:sz="0" w:space="0" w:color="auto"/>
            <w:bottom w:val="none" w:sz="0" w:space="0" w:color="auto"/>
            <w:right w:val="none" w:sz="0" w:space="0" w:color="auto"/>
          </w:divBdr>
        </w:div>
        <w:div w:id="599727061">
          <w:marLeft w:val="547"/>
          <w:marRight w:val="0"/>
          <w:marTop w:val="200"/>
          <w:marBottom w:val="0"/>
          <w:divBdr>
            <w:top w:val="none" w:sz="0" w:space="0" w:color="auto"/>
            <w:left w:val="none" w:sz="0" w:space="0" w:color="auto"/>
            <w:bottom w:val="none" w:sz="0" w:space="0" w:color="auto"/>
            <w:right w:val="none" w:sz="0" w:space="0" w:color="auto"/>
          </w:divBdr>
        </w:div>
        <w:div w:id="916861107">
          <w:marLeft w:val="547"/>
          <w:marRight w:val="0"/>
          <w:marTop w:val="200"/>
          <w:marBottom w:val="0"/>
          <w:divBdr>
            <w:top w:val="none" w:sz="0" w:space="0" w:color="auto"/>
            <w:left w:val="none" w:sz="0" w:space="0" w:color="auto"/>
            <w:bottom w:val="none" w:sz="0" w:space="0" w:color="auto"/>
            <w:right w:val="none" w:sz="0" w:space="0" w:color="auto"/>
          </w:divBdr>
        </w:div>
        <w:div w:id="1514420448">
          <w:marLeft w:val="1267"/>
          <w:marRight w:val="0"/>
          <w:marTop w:val="100"/>
          <w:marBottom w:val="0"/>
          <w:divBdr>
            <w:top w:val="none" w:sz="0" w:space="0" w:color="auto"/>
            <w:left w:val="none" w:sz="0" w:space="0" w:color="auto"/>
            <w:bottom w:val="none" w:sz="0" w:space="0" w:color="auto"/>
            <w:right w:val="none" w:sz="0" w:space="0" w:color="auto"/>
          </w:divBdr>
        </w:div>
        <w:div w:id="1869945652">
          <w:marLeft w:val="1267"/>
          <w:marRight w:val="0"/>
          <w:marTop w:val="100"/>
          <w:marBottom w:val="0"/>
          <w:divBdr>
            <w:top w:val="none" w:sz="0" w:space="0" w:color="auto"/>
            <w:left w:val="none" w:sz="0" w:space="0" w:color="auto"/>
            <w:bottom w:val="none" w:sz="0" w:space="0" w:color="auto"/>
            <w:right w:val="none" w:sz="0" w:space="0" w:color="auto"/>
          </w:divBdr>
        </w:div>
        <w:div w:id="1917397431">
          <w:marLeft w:val="1267"/>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image" Target="media/image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header" Target="header2.xml"/><Relationship Id="rId10" Type="http://schemas.openxmlformats.org/officeDocument/2006/relationships/chart" Target="charts/chart2.xml"/><Relationship Id="rId19"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header" Target="header1.xm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revitek\REV%20SPC%20Docs\Trip%20reports\2019\PHMM%20Aug%202019\HRH%20paper\References\Profiles%20of%20PH%20doctors%202019\Regional%20Public%20Health%20Workforce%20Profiles%202019.xls"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'No.s per 10,000 (all Drs)'!$A$11</c:f>
              <c:strCache>
                <c:ptCount val="1"/>
                <c:pt idx="0">
                  <c:v>Nombre de médecins pour 10 000 habitants, 2012</c:v>
                </c:pt>
              </c:strCache>
            </c:strRef>
          </c:tx>
          <c:spPr>
            <a:solidFill>
              <a:schemeClr val="accent1"/>
            </a:solidFill>
            <a:ln>
              <a:noFill/>
            </a:ln>
            <a:effectLst/>
          </c:spPr>
          <c:invertIfNegative val="0"/>
          <c:cat>
            <c:strRef>
              <c:f>'No.s per 10,000 (all Drs)'!$B$10:$O$10</c:f>
              <c:strCache>
                <c:ptCount val="14"/>
                <c:pt idx="0">
                  <c:v>Tuvalu</c:v>
                </c:pt>
                <c:pt idx="1">
                  <c:v>Îles Cook</c:v>
                </c:pt>
                <c:pt idx="2">
                  <c:v>Niue</c:v>
                </c:pt>
                <c:pt idx="3">
                  <c:v>Palau</c:v>
                </c:pt>
                <c:pt idx="4">
                  <c:v>Tokelau</c:v>
                </c:pt>
                <c:pt idx="5">
                  <c:v>Nauru</c:v>
                </c:pt>
                <c:pt idx="6">
                  <c:v>Fidji</c:v>
                </c:pt>
                <c:pt idx="7">
                  <c:v>Tonga</c:v>
                </c:pt>
                <c:pt idx="8">
                  <c:v>Îles Marshall</c:v>
                </c:pt>
                <c:pt idx="9">
                  <c:v>États féd. Micronésie</c:v>
                </c:pt>
                <c:pt idx="10">
                  <c:v>Kiribati</c:v>
                </c:pt>
                <c:pt idx="11">
                  <c:v>Samoa</c:v>
                </c:pt>
                <c:pt idx="12">
                  <c:v>Îles Salomon</c:v>
                </c:pt>
                <c:pt idx="13">
                  <c:v>Vanuatu</c:v>
                </c:pt>
              </c:strCache>
            </c:strRef>
          </c:cat>
          <c:val>
            <c:numRef>
              <c:f>'No.s per 10,000 (all Drs)'!$B$11:$O$11</c:f>
              <c:numCache>
                <c:formatCode>General</c:formatCode>
                <c:ptCount val="14"/>
                <c:pt idx="0" formatCode="0.00">
                  <c:v>8.5356600910470402</c:v>
                </c:pt>
                <c:pt idx="1">
                  <c:v>17.6056338028169</c:v>
                </c:pt>
                <c:pt idx="2">
                  <c:v>30.76923076923077</c:v>
                </c:pt>
                <c:pt idx="3">
                  <c:v>6</c:v>
                </c:pt>
                <c:pt idx="4" formatCode="0.00">
                  <c:v>28.348688873139618</c:v>
                </c:pt>
                <c:pt idx="5" formatCode="0.00">
                  <c:v>9.6545805621111356</c:v>
                </c:pt>
                <c:pt idx="6">
                  <c:v>4.6938207581535725</c:v>
                </c:pt>
                <c:pt idx="7" formatCode="0.00">
                  <c:v>4.2703521099421557</c:v>
                </c:pt>
                <c:pt idx="8">
                  <c:v>1.4884939418296568</c:v>
                </c:pt>
                <c:pt idx="9">
                  <c:v>6.0101233014358559</c:v>
                </c:pt>
                <c:pt idx="10">
                  <c:v>2.4154589371980677</c:v>
                </c:pt>
                <c:pt idx="11">
                  <c:v>3.4882472899001824</c:v>
                </c:pt>
                <c:pt idx="12">
                  <c:v>1.5625361698187459</c:v>
                </c:pt>
                <c:pt idx="13">
                  <c:v>1.3664455627608447</c:v>
                </c:pt>
              </c:numCache>
            </c:numRef>
          </c:val>
          <c:extLst xmlns:c16r2="http://schemas.microsoft.com/office/drawing/2015/06/chart">
            <c:ext xmlns:c16="http://schemas.microsoft.com/office/drawing/2014/chart" uri="{C3380CC4-5D6E-409C-BE32-E72D297353CC}">
              <c16:uniqueId val="{00000000-48F2-490D-9582-4E32AA35CCFC}"/>
            </c:ext>
          </c:extLst>
        </c:ser>
        <c:ser>
          <c:idx val="1"/>
          <c:order val="1"/>
          <c:tx>
            <c:strRef>
              <c:f>'No.s per 10,000 (all Drs)'!$A$12</c:f>
              <c:strCache>
                <c:ptCount val="1"/>
                <c:pt idx="0">
                  <c:v>Nombre de médecins pour 10 000 habitants,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'No.s per 10,000 (all Drs)'!$B$10:$O$10</c:f>
              <c:strCache>
                <c:ptCount val="14"/>
                <c:pt idx="0">
                  <c:v>Tuvalu</c:v>
                </c:pt>
                <c:pt idx="1">
                  <c:v>Îles Cook</c:v>
                </c:pt>
                <c:pt idx="2">
                  <c:v>Niue</c:v>
                </c:pt>
                <c:pt idx="3">
                  <c:v>Palau</c:v>
                </c:pt>
                <c:pt idx="4">
                  <c:v>Tokelau</c:v>
                </c:pt>
                <c:pt idx="5">
                  <c:v>Nauru</c:v>
                </c:pt>
                <c:pt idx="6">
                  <c:v>Fidji</c:v>
                </c:pt>
                <c:pt idx="7">
                  <c:v>Tonga</c:v>
                </c:pt>
                <c:pt idx="8">
                  <c:v>Îles Marshall</c:v>
                </c:pt>
                <c:pt idx="9">
                  <c:v>États féd. Micronésie</c:v>
                </c:pt>
                <c:pt idx="10">
                  <c:v>Kiribati</c:v>
                </c:pt>
                <c:pt idx="11">
                  <c:v>Samoa</c:v>
                </c:pt>
                <c:pt idx="12">
                  <c:v>Îles Salomon</c:v>
                </c:pt>
                <c:pt idx="13">
                  <c:v>Vanuatu</c:v>
                </c:pt>
              </c:strCache>
            </c:strRef>
          </c:cat>
          <c:val>
            <c:numRef>
              <c:f>'No.s per 10,000 (all Drs)'!$B$12:$O$12</c:f>
              <c:numCache>
                <c:formatCode>0.0</c:formatCode>
                <c:ptCount val="14"/>
                <c:pt idx="0">
                  <c:v>26.732673267326735</c:v>
                </c:pt>
                <c:pt idx="1">
                  <c:v>19.078947368421051</c:v>
                </c:pt>
                <c:pt idx="2">
                  <c:v>18.75</c:v>
                </c:pt>
                <c:pt idx="3">
                  <c:v>15.168539325842696</c:v>
                </c:pt>
                <c:pt idx="4">
                  <c:v>14.285714285714286</c:v>
                </c:pt>
                <c:pt idx="5">
                  <c:v>13.888888888888889</c:v>
                </c:pt>
                <c:pt idx="6">
                  <c:v>8.712976911176229</c:v>
                </c:pt>
                <c:pt idx="7">
                  <c:v>8.0516898608349905</c:v>
                </c:pt>
                <c:pt idx="8">
                  <c:v>7.6363636363636367</c:v>
                </c:pt>
                <c:pt idx="9">
                  <c:v>6.2141491395793498</c:v>
                </c:pt>
                <c:pt idx="10">
                  <c:v>5.1514179066664418</c:v>
                </c:pt>
                <c:pt idx="11">
                  <c:v>4.2268041237113403</c:v>
                </c:pt>
                <c:pt idx="12">
                  <c:v>2.6085622218812339</c:v>
                </c:pt>
                <c:pt idx="13">
                  <c:v>2.4162927166033827</c:v>
                </c:pt>
              </c:numCache>
            </c:numRef>
          </c:val>
          <c:extLst xmlns:c16r2="http://schemas.microsoft.com/office/drawing/2015/06/chart">
            <c:ext xmlns:c16="http://schemas.microsoft.com/office/drawing/2014/chart" uri="{C3380CC4-5D6E-409C-BE32-E72D297353CC}">
              <c16:uniqueId val="{00000001-48F2-490D-9582-4E32AA35CCFC}"/>
            </c:ext>
          </c:extLst>
        </c:ser>
        <c:dLbls>
          <c:showLegendKey val="0"/>
          <c:showVal val="0"/>
          <c:showCatName val="0"/>
          <c:showSerName val="0"/>
          <c:showPercent val="0"/>
          <c:showBubbleSize val="0"/>
        </c:dLbls>
        <c:gapWidth val="219"/>
        <c:overlap val="-27"/>
        <c:axId val="61460480"/>
        <c:axId val="78775040"/>
      </c:barChart>
      <c:catAx>
        <c:axId val="6146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8775040"/>
        <c:crosses val="autoZero"/>
        <c:auto val="1"/>
        <c:lblAlgn val="ctr"/>
        <c:lblOffset val="100"/>
        <c:noMultiLvlLbl val="0"/>
      </c:catAx>
      <c:valAx>
        <c:axId val="787750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60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'Drs with PH Qual per pop'!$B$7</c:f>
              <c:strCache>
                <c:ptCount val="1"/>
                <c:pt idx="0">
                  <c:v>Number of Local Drs with PG Qual in PH/Applied Epi/HSM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Fiji</c:v>
                </c:pt>
                <c:pt idx="1">
                  <c:v>Solomons</c:v>
                </c:pt>
                <c:pt idx="2">
                  <c:v>Tonga</c:v>
                </c:pt>
                <c:pt idx="3">
                  <c:v>Samoa</c:v>
                </c:pt>
                <c:pt idx="4">
                  <c:v>Palau</c:v>
                </c:pt>
                <c:pt idx="5">
                  <c:v>Kiribati</c:v>
                </c:pt>
                <c:pt idx="6">
                  <c:v>Cooks</c:v>
                </c:pt>
                <c:pt idx="7">
                  <c:v>RMI</c:v>
                </c:pt>
                <c:pt idx="8">
                  <c:v>Vanuatu</c:v>
                </c:pt>
                <c:pt idx="9">
                  <c:v>FSM</c:v>
                </c:pt>
                <c:pt idx="10">
                  <c:v>Tuvalu</c:v>
                </c:pt>
                <c:pt idx="11">
                  <c:v>Nauru</c:v>
                </c:pt>
                <c:pt idx="12">
                  <c:v>Tokelau</c:v>
                </c:pt>
                <c:pt idx="13">
                  <c:v>Niue</c:v>
                </c:pt>
              </c:strCache>
            </c:strRef>
          </c:cat>
          <c:val>
            <c:numRef>
              <c:f>'Drs with PH Qual per pop'!$C$7:$P$7</c:f>
              <c:numCache>
                <c:formatCode>General</c:formatCode>
                <c:ptCount val="14"/>
                <c:pt idx="0">
                  <c:v>33</c:v>
                </c:pt>
                <c:pt idx="1">
                  <c:v>8</c:v>
                </c:pt>
                <c:pt idx="2">
                  <c:v>5</c:v>
                </c:pt>
                <c:pt idx="3">
                  <c:v>5</c:v>
                </c:pt>
                <c:pt idx="4">
                  <c:v>2</c:v>
                </c:pt>
                <c:pt idx="5">
                  <c:v>1</c:v>
                </c:pt>
                <c:pt idx="6">
                  <c:v>1</c:v>
                </c:pt>
                <c:pt idx="7">
                  <c:v>0</c:v>
                </c:pt>
                <c:pt idx="8">
                  <c:v>0</c:v>
                </c:pt>
                <c:pt idx="9">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0-5FA9-4308-ACC0-3AC94E682DDB}"/>
            </c:ext>
          </c:extLst>
        </c:ser>
        <c:dLbls>
          <c:showLegendKey val="0"/>
          <c:showVal val="0"/>
          <c:showCatName val="0"/>
          <c:showSerName val="0"/>
          <c:showPercent val="0"/>
          <c:showBubbleSize val="0"/>
        </c:dLbls>
        <c:gapWidth val="219"/>
        <c:overlap val="-27"/>
        <c:axId val="220986368"/>
        <c:axId val="222233344"/>
      </c:barChart>
      <c:catAx>
        <c:axId val="220986368"/>
        <c:scaling>
          <c:orientation val="minMax"/>
        </c:scaling>
        <c:delete val="1"/>
        <c:axPos val="b"/>
        <c:numFmt formatCode="General" sourceLinked="1"/>
        <c:majorTickMark val="none"/>
        <c:minorTickMark val="none"/>
        <c:tickLblPos val="nextTo"/>
        <c:crossAx val="222233344"/>
        <c:crosses val="autoZero"/>
        <c:auto val="1"/>
        <c:lblAlgn val="ctr"/>
        <c:lblOffset val="100"/>
        <c:noMultiLvlLbl val="0"/>
      </c:catAx>
      <c:valAx>
        <c:axId val="222233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0986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'Drs with PH Qual per pop'!$B$5</c:f>
              <c:strCache>
                <c:ptCount val="1"/>
                <c:pt idx="0">
                  <c:v>Nombre de médecins locaux titulaires d’un diplôme d’études supérieures en santé publique/épidémiologie appliquée/gestion des systèmes de santé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Fidji</c:v>
                </c:pt>
                <c:pt idx="1">
                  <c:v>Îles Salomon</c:v>
                </c:pt>
                <c:pt idx="2">
                  <c:v>Tonga</c:v>
                </c:pt>
                <c:pt idx="3">
                  <c:v>Samoa</c:v>
                </c:pt>
                <c:pt idx="4">
                  <c:v>Palau</c:v>
                </c:pt>
                <c:pt idx="5">
                  <c:v>Kiribati</c:v>
                </c:pt>
                <c:pt idx="6">
                  <c:v>Îles Cook</c:v>
                </c:pt>
                <c:pt idx="7">
                  <c:v>Îles Marshall</c:v>
                </c:pt>
                <c:pt idx="8">
                  <c:v>Vanuatu</c:v>
                </c:pt>
                <c:pt idx="9">
                  <c:v>États féd. Micronésie</c:v>
                </c:pt>
                <c:pt idx="10">
                  <c:v>Tuvalu</c:v>
                </c:pt>
                <c:pt idx="11">
                  <c:v>Nauru</c:v>
                </c:pt>
                <c:pt idx="12">
                  <c:v>Tokelau</c:v>
                </c:pt>
                <c:pt idx="13">
                  <c:v>Niue</c:v>
                </c:pt>
              </c:strCache>
            </c:strRef>
          </c:cat>
          <c:val>
            <c:numRef>
              <c:f>'Drs with PH Qual per pop'!$C$5:$P$5</c:f>
              <c:numCache>
                <c:formatCode>General</c:formatCode>
                <c:ptCount val="14"/>
                <c:pt idx="0">
                  <c:v>20</c:v>
                </c:pt>
                <c:pt idx="1">
                  <c:v>2</c:v>
                </c:pt>
                <c:pt idx="2">
                  <c:v>0</c:v>
                </c:pt>
                <c:pt idx="3">
                  <c:v>1</c:v>
                </c:pt>
                <c:pt idx="4">
                  <c:v>2</c:v>
                </c:pt>
                <c:pt idx="5">
                  <c:v>1</c:v>
                </c:pt>
                <c:pt idx="6">
                  <c:v>0</c:v>
                </c:pt>
                <c:pt idx="7">
                  <c:v>0</c:v>
                </c:pt>
                <c:pt idx="8">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0-39E8-49DE-AD86-E34A1E5BD40F}"/>
            </c:ext>
          </c:extLst>
        </c:ser>
        <c:ser>
          <c:idx val="1"/>
          <c:order val="1"/>
          <c:tx>
            <c:strRef>
              <c:f>'Drs with PH Qual per pop'!$B$6</c:f>
              <c:strCache>
                <c:ptCount val="1"/>
                <c:pt idx="0">
                  <c:v>Nombre de médecins locaux titulaires d’un master/doctorat en santé publique/épidémiologie appliquée/gestion des systèmes de santé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Fidji</c:v>
                </c:pt>
                <c:pt idx="1">
                  <c:v>Îles Salomon</c:v>
                </c:pt>
                <c:pt idx="2">
                  <c:v>Tonga</c:v>
                </c:pt>
                <c:pt idx="3">
                  <c:v>Samoa</c:v>
                </c:pt>
                <c:pt idx="4">
                  <c:v>Palau</c:v>
                </c:pt>
                <c:pt idx="5">
                  <c:v>Kiribati</c:v>
                </c:pt>
                <c:pt idx="6">
                  <c:v>Îles Cook</c:v>
                </c:pt>
                <c:pt idx="7">
                  <c:v>Îles Marshall</c:v>
                </c:pt>
                <c:pt idx="8">
                  <c:v>Vanuatu</c:v>
                </c:pt>
                <c:pt idx="9">
                  <c:v>États féd. Micronésie</c:v>
                </c:pt>
                <c:pt idx="10">
                  <c:v>Tuvalu</c:v>
                </c:pt>
                <c:pt idx="11">
                  <c:v>Nauru</c:v>
                </c:pt>
                <c:pt idx="12">
                  <c:v>Tokelau</c:v>
                </c:pt>
                <c:pt idx="13">
                  <c:v>Niue</c:v>
                </c:pt>
              </c:strCache>
            </c:strRef>
          </c:cat>
          <c:val>
            <c:numRef>
              <c:f>'Drs with PH Qual per pop'!$C$6:$P$6</c:f>
              <c:numCache>
                <c:formatCode>General</c:formatCode>
                <c:ptCount val="14"/>
                <c:pt idx="0">
                  <c:v>13</c:v>
                </c:pt>
                <c:pt idx="1">
                  <c:v>6</c:v>
                </c:pt>
                <c:pt idx="2">
                  <c:v>5</c:v>
                </c:pt>
                <c:pt idx="3">
                  <c:v>4</c:v>
                </c:pt>
                <c:pt idx="4">
                  <c:v>0</c:v>
                </c:pt>
                <c:pt idx="5">
                  <c:v>0</c:v>
                </c:pt>
                <c:pt idx="6">
                  <c:v>1</c:v>
                </c:pt>
                <c:pt idx="7">
                  <c:v>0</c:v>
                </c:pt>
                <c:pt idx="8">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1-39E8-49DE-AD86-E34A1E5BD40F}"/>
            </c:ext>
          </c:extLst>
        </c:ser>
        <c:dLbls>
          <c:showLegendKey val="0"/>
          <c:showVal val="0"/>
          <c:showCatName val="0"/>
          <c:showSerName val="0"/>
          <c:showPercent val="0"/>
          <c:showBubbleSize val="0"/>
        </c:dLbls>
        <c:gapWidth val="150"/>
        <c:overlap val="100"/>
        <c:axId val="222251264"/>
        <c:axId val="222257152"/>
      </c:barChart>
      <c:catAx>
        <c:axId val="22225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57152"/>
        <c:crosses val="autoZero"/>
        <c:auto val="1"/>
        <c:lblAlgn val="ctr"/>
        <c:lblOffset val="100"/>
        <c:noMultiLvlLbl val="0"/>
      </c:catAx>
      <c:valAx>
        <c:axId val="222257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51264"/>
        <c:crosses val="autoZero"/>
        <c:crossBetween val="between"/>
      </c:valAx>
      <c:spPr>
        <a:noFill/>
        <a:ln>
          <a:noFill/>
        </a:ln>
        <a:effectLst/>
      </c:spPr>
    </c:plotArea>
    <c:legend>
      <c:legendPos val="b"/>
      <c:layout>
        <c:manualLayout>
          <c:xMode val="edge"/>
          <c:yMode val="edge"/>
          <c:x val="4.8226274806377053E-3"/>
          <c:y val="0.74884788174484329"/>
          <c:w val="0.99257014607969618"/>
          <c:h val="0.251152118255156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'Gender &amp; age by Qual'!$C$2</c:f>
              <c:strCache>
                <c:ptCount val="1"/>
                <c:pt idx="0">
                  <c:v>Hommes</c:v>
                </c:pt>
              </c:strCache>
            </c:strRef>
          </c:tx>
          <c:spPr>
            <a:solidFill>
              <a:schemeClr val="accent1"/>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'Gender &amp; age by Qual'!$A$3:$A$4</c:f>
              <c:strCache>
                <c:ptCount val="2"/>
                <c:pt idx="0">
                  <c:v>Master/doctorat</c:v>
                </c:pt>
                <c:pt idx="1">
                  <c:v>Certificat/diplôme d'études supérieures</c:v>
                </c:pt>
              </c:strCache>
            </c:strRef>
          </c:cat>
          <c:val>
            <c:numRef>
              <c:f>'Gender &amp; age by Qual'!$C$3:$C$4</c:f>
              <c:numCache>
                <c:formatCode>General</c:formatCode>
                <c:ptCount val="2"/>
                <c:pt idx="0">
                  <c:v>16</c:v>
                </c:pt>
                <c:pt idx="1">
                  <c:v>15</c:v>
                </c:pt>
              </c:numCache>
            </c:numRef>
          </c:val>
          <c:extLst xmlns:c16r2="http://schemas.microsoft.com/office/drawing/2015/06/chart">
            <c:ext xmlns:c16="http://schemas.microsoft.com/office/drawing/2014/chart" uri="{C3380CC4-5D6E-409C-BE32-E72D297353CC}">
              <c16:uniqueId val="{00000000-5C39-4F77-94BC-2FD1352C098A}"/>
            </c:ext>
          </c:extLst>
        </c:ser>
        <c:ser>
          <c:idx val="1"/>
          <c:order val="1"/>
          <c:tx>
            <c:strRef>
              <c:f>'Gender &amp; age by Qual'!$D$2</c:f>
              <c:strCache>
                <c:ptCount val="1"/>
                <c:pt idx="0">
                  <c:v>Femmes</c:v>
                </c:pt>
              </c:strCache>
            </c:strRef>
          </c:tx>
          <c:spPr>
            <a:solidFill>
              <a:schemeClr val="accent2"/>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'Gender &amp; age by Qual'!$A$3:$A$4</c:f>
              <c:strCache>
                <c:ptCount val="2"/>
                <c:pt idx="0">
                  <c:v>Master/doctorat</c:v>
                </c:pt>
                <c:pt idx="1">
                  <c:v>Certificat/diplôme d'études supérieures</c:v>
                </c:pt>
              </c:strCache>
            </c:strRef>
          </c:cat>
          <c:val>
            <c:numRef>
              <c:f>'Gender &amp; age by Qual'!$D$3:$D$4</c:f>
              <c:numCache>
                <c:formatCode>General</c:formatCode>
                <c:ptCount val="2"/>
                <c:pt idx="0">
                  <c:v>13</c:v>
                </c:pt>
                <c:pt idx="1">
                  <c:v>11</c:v>
                </c:pt>
              </c:numCache>
            </c:numRef>
          </c:val>
          <c:extLst xmlns:c16r2="http://schemas.microsoft.com/office/drawing/2015/06/chart">
            <c:ext xmlns:c16="http://schemas.microsoft.com/office/drawing/2014/chart" uri="{C3380CC4-5D6E-409C-BE32-E72D297353CC}">
              <c16:uniqueId val="{00000001-5C39-4F77-94BC-2FD1352C098A}"/>
            </c:ext>
          </c:extLst>
        </c:ser>
        <c:dLbls>
          <c:showLegendKey val="0"/>
          <c:showVal val="0"/>
          <c:showCatName val="0"/>
          <c:showSerName val="0"/>
          <c:showPercent val="0"/>
          <c:showBubbleSize val="0"/>
        </c:dLbls>
        <c:gapWidth val="150"/>
        <c:overlap val="100"/>
        <c:axId val="222336896"/>
        <c:axId val="222338432"/>
      </c:barChart>
      <c:catAx>
        <c:axId val="22233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338432"/>
        <c:crosses val="autoZero"/>
        <c:auto val="1"/>
        <c:lblAlgn val="ctr"/>
        <c:lblOffset val="100"/>
        <c:noMultiLvlLbl val="0"/>
      </c:catAx>
      <c:valAx>
        <c:axId val="222338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336896"/>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nationaility!$A$12</c:f>
              <c:strCache>
                <c:ptCount val="1"/>
                <c:pt idx="0">
                  <c:v>Part des médecins expatriés, 2012 (%)</c:v>
                </c:pt>
              </c:strCache>
            </c:strRef>
          </c:tx>
          <c:spPr>
            <a:solidFill>
              <a:schemeClr val="accent1"/>
            </a:solidFill>
            <a:ln>
              <a:noFill/>
            </a:ln>
            <a:effectLst/>
          </c:spPr>
          <c:invertIfNegative val="0"/>
          <c:cat>
            <c:strRef>
              <c:f>nationaility!$B$11:$O$11</c:f>
              <c:strCache>
                <c:ptCount val="14"/>
                <c:pt idx="0">
                  <c:v>Îles Marshall</c:v>
                </c:pt>
                <c:pt idx="1">
                  <c:v>Nauru</c:v>
                </c:pt>
                <c:pt idx="2">
                  <c:v>Niue</c:v>
                </c:pt>
                <c:pt idx="3">
                  <c:v>Tokelau</c:v>
                </c:pt>
                <c:pt idx="4">
                  <c:v>Palau</c:v>
                </c:pt>
                <c:pt idx="5">
                  <c:v>Îles Cook</c:v>
                </c:pt>
                <c:pt idx="6">
                  <c:v>États féd. Micronésie</c:v>
                </c:pt>
                <c:pt idx="7">
                  <c:v>Kiribati</c:v>
                </c:pt>
                <c:pt idx="8">
                  <c:v>Samoa</c:v>
                </c:pt>
                <c:pt idx="9">
                  <c:v>Vanuatu</c:v>
                </c:pt>
                <c:pt idx="10">
                  <c:v>Fidji</c:v>
                </c:pt>
                <c:pt idx="11">
                  <c:v>Tonga</c:v>
                </c:pt>
                <c:pt idx="12">
                  <c:v>Îles Salomon</c:v>
                </c:pt>
                <c:pt idx="13">
                  <c:v>Tuvalu</c:v>
                </c:pt>
              </c:strCache>
            </c:strRef>
          </c:cat>
          <c:val>
            <c:numRef>
              <c:f>nationaility!$B$12:$O$12</c:f>
              <c:numCache>
                <c:formatCode>0.00</c:formatCode>
                <c:ptCount val="14"/>
                <c:pt idx="0" formatCode="General">
                  <c:v>80</c:v>
                </c:pt>
                <c:pt idx="1">
                  <c:v>77.777777777777771</c:v>
                </c:pt>
                <c:pt idx="2" formatCode="General">
                  <c:v>50</c:v>
                </c:pt>
                <c:pt idx="3" formatCode="General">
                  <c:v>0</c:v>
                </c:pt>
                <c:pt idx="4" formatCode="General">
                  <c:v>53.333333333333336</c:v>
                </c:pt>
                <c:pt idx="5" formatCode="General">
                  <c:v>40</c:v>
                </c:pt>
                <c:pt idx="6" formatCode="General">
                  <c:v>28.125</c:v>
                </c:pt>
                <c:pt idx="7" formatCode="General">
                  <c:v>28</c:v>
                </c:pt>
                <c:pt idx="8" formatCode="General">
                  <c:v>15.384615384615387</c:v>
                </c:pt>
                <c:pt idx="9" formatCode="General">
                  <c:v>22.857142857142847</c:v>
                </c:pt>
                <c:pt idx="10" formatCode="General">
                  <c:v>9.669211195928753</c:v>
                </c:pt>
                <c:pt idx="11" formatCode="General">
                  <c:v>0</c:v>
                </c:pt>
                <c:pt idx="12" formatCode="General">
                  <c:v>2.4691358024691397</c:v>
                </c:pt>
                <c:pt idx="13" formatCode="General">
                  <c:v>22.222222222222214</c:v>
                </c:pt>
              </c:numCache>
            </c:numRef>
          </c:val>
          <c:extLst xmlns:c16r2="http://schemas.microsoft.com/office/drawing/2015/06/chart">
            <c:ext xmlns:c16="http://schemas.microsoft.com/office/drawing/2014/chart" uri="{C3380CC4-5D6E-409C-BE32-E72D297353CC}">
              <c16:uniqueId val="{00000000-F774-4707-8C6B-875BFF35319F}"/>
            </c:ext>
          </c:extLst>
        </c:ser>
        <c:ser>
          <c:idx val="1"/>
          <c:order val="1"/>
          <c:tx>
            <c:strRef>
              <c:f>nationaility!$A$13</c:f>
              <c:strCache>
                <c:ptCount val="1"/>
                <c:pt idx="0">
                  <c:v>Part des médecins expatriés, 2019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nationaility!$B$11:$O$11</c:f>
              <c:strCache>
                <c:ptCount val="14"/>
                <c:pt idx="0">
                  <c:v>Îles Marshall</c:v>
                </c:pt>
                <c:pt idx="1">
                  <c:v>Nauru</c:v>
                </c:pt>
                <c:pt idx="2">
                  <c:v>Niue</c:v>
                </c:pt>
                <c:pt idx="3">
                  <c:v>Tokelau</c:v>
                </c:pt>
                <c:pt idx="4">
                  <c:v>Palau</c:v>
                </c:pt>
                <c:pt idx="5">
                  <c:v>Îles Cook</c:v>
                </c:pt>
                <c:pt idx="6">
                  <c:v>États féd. Micronésie</c:v>
                </c:pt>
                <c:pt idx="7">
                  <c:v>Kiribati</c:v>
                </c:pt>
                <c:pt idx="8">
                  <c:v>Samoa</c:v>
                </c:pt>
                <c:pt idx="9">
                  <c:v>Vanuatu</c:v>
                </c:pt>
                <c:pt idx="10">
                  <c:v>Fidji</c:v>
                </c:pt>
                <c:pt idx="11">
                  <c:v>Tonga</c:v>
                </c:pt>
                <c:pt idx="12">
                  <c:v>Îles Salomon</c:v>
                </c:pt>
                <c:pt idx="13">
                  <c:v>Tuvalu</c:v>
                </c:pt>
              </c:strCache>
            </c:strRef>
          </c:cat>
          <c:val>
            <c:numRef>
              <c:f>nationaility!$B$13:$O$13</c:f>
              <c:numCache>
                <c:formatCode>0</c:formatCode>
                <c:ptCount val="14"/>
                <c:pt idx="0">
                  <c:v>73.80952380952381</c:v>
                </c:pt>
                <c:pt idx="1">
                  <c:v>73.333333333333329</c:v>
                </c:pt>
                <c:pt idx="2">
                  <c:v>66.666666666666671</c:v>
                </c:pt>
                <c:pt idx="3">
                  <c:v>60</c:v>
                </c:pt>
                <c:pt idx="4">
                  <c:v>59.25925925925926</c:v>
                </c:pt>
                <c:pt idx="5">
                  <c:v>41.379310344827594</c:v>
                </c:pt>
                <c:pt idx="6">
                  <c:v>37.5</c:v>
                </c:pt>
                <c:pt idx="7">
                  <c:v>15.254237288135599</c:v>
                </c:pt>
                <c:pt idx="8">
                  <c:v>8.5365853658536537</c:v>
                </c:pt>
                <c:pt idx="9">
                  <c:v>4.2857142857142776</c:v>
                </c:pt>
                <c:pt idx="10">
                  <c:v>3.9164490861618759</c:v>
                </c:pt>
                <c:pt idx="11">
                  <c:v>1.2345679012345698</c:v>
                </c:pt>
                <c:pt idx="12">
                  <c:v>0</c:v>
                </c:pt>
                <c:pt idx="13">
                  <c:v>0</c:v>
                </c:pt>
              </c:numCache>
            </c:numRef>
          </c:val>
          <c:extLst xmlns:c16r2="http://schemas.microsoft.com/office/drawing/2015/06/chart">
            <c:ext xmlns:c16="http://schemas.microsoft.com/office/drawing/2014/chart" uri="{C3380CC4-5D6E-409C-BE32-E72D297353CC}">
              <c16:uniqueId val="{00000001-F774-4707-8C6B-875BFF35319F}"/>
            </c:ext>
          </c:extLst>
        </c:ser>
        <c:dLbls>
          <c:showLegendKey val="0"/>
          <c:showVal val="0"/>
          <c:showCatName val="0"/>
          <c:showSerName val="0"/>
          <c:showPercent val="0"/>
          <c:showBubbleSize val="0"/>
        </c:dLbls>
        <c:gapWidth val="219"/>
        <c:overlap val="-27"/>
        <c:axId val="146212736"/>
        <c:axId val="146215680"/>
      </c:barChart>
      <c:catAx>
        <c:axId val="14621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15680"/>
        <c:crosses val="autoZero"/>
        <c:auto val="1"/>
        <c:lblAlgn val="ctr"/>
        <c:lblOffset val="100"/>
        <c:noMultiLvlLbl val="0"/>
      </c:catAx>
      <c:valAx>
        <c:axId val="14621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12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'Local Dr'!$B$4</c:f>
              <c:strCache>
                <c:ptCount val="1"/>
                <c:pt idx="0">
                  <c:v>Nombre de médecins locaux, 2012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Dr'!$C$3:$P$3</c:f>
              <c:strCache>
                <c:ptCount val="14"/>
                <c:pt idx="0">
                  <c:v>Fidji</c:v>
                </c:pt>
                <c:pt idx="1">
                  <c:v>Îles Salomon</c:v>
                </c:pt>
                <c:pt idx="2">
                  <c:v>Tonga</c:v>
                </c:pt>
                <c:pt idx="3">
                  <c:v>Samoa</c:v>
                </c:pt>
                <c:pt idx="4">
                  <c:v>Vanuatu</c:v>
                </c:pt>
                <c:pt idx="5">
                  <c:v>Kiribati</c:v>
                </c:pt>
                <c:pt idx="6">
                  <c:v>États féd. Micronésie</c:v>
                </c:pt>
                <c:pt idx="7">
                  <c:v>Tuvalu</c:v>
                </c:pt>
                <c:pt idx="8">
                  <c:v>Îles Cook</c:v>
                </c:pt>
                <c:pt idx="9">
                  <c:v>Îles Marshall</c:v>
                </c:pt>
                <c:pt idx="10">
                  <c:v>Palau</c:v>
                </c:pt>
                <c:pt idx="11">
                  <c:v>Nauru</c:v>
                </c:pt>
                <c:pt idx="12">
                  <c:v>Tokelau</c:v>
                </c:pt>
                <c:pt idx="13">
                  <c:v>Niue</c:v>
                </c:pt>
              </c:strCache>
            </c:strRef>
          </c:cat>
          <c:val>
            <c:numRef>
              <c:f>'Local Dr'!$C$4:$P$4</c:f>
              <c:numCache>
                <c:formatCode>General</c:formatCode>
                <c:ptCount val="14"/>
                <c:pt idx="0">
                  <c:v>355</c:v>
                </c:pt>
                <c:pt idx="1">
                  <c:v>79</c:v>
                </c:pt>
                <c:pt idx="2">
                  <c:v>44</c:v>
                </c:pt>
                <c:pt idx="3">
                  <c:v>55</c:v>
                </c:pt>
                <c:pt idx="4">
                  <c:v>27</c:v>
                </c:pt>
                <c:pt idx="5">
                  <c:v>18</c:v>
                </c:pt>
                <c:pt idx="6">
                  <c:v>46</c:v>
                </c:pt>
                <c:pt idx="7">
                  <c:v>7</c:v>
                </c:pt>
                <c:pt idx="8">
                  <c:v>15</c:v>
                </c:pt>
                <c:pt idx="9">
                  <c:v>9</c:v>
                </c:pt>
                <c:pt idx="10">
                  <c:v>7</c:v>
                </c:pt>
                <c:pt idx="11">
                  <c:v>2</c:v>
                </c:pt>
                <c:pt idx="12">
                  <c:v>4</c:v>
                </c:pt>
                <c:pt idx="13">
                  <c:v>2</c:v>
                </c:pt>
              </c:numCache>
            </c:numRef>
          </c:val>
          <c:extLst xmlns:c16r2="http://schemas.microsoft.com/office/drawing/2015/06/chart">
            <c:ext xmlns:c16="http://schemas.microsoft.com/office/drawing/2014/chart" uri="{C3380CC4-5D6E-409C-BE32-E72D297353CC}">
              <c16:uniqueId val="{00000000-1C06-47BD-8D77-C37C29FD8729}"/>
            </c:ext>
          </c:extLst>
        </c:ser>
        <c:ser>
          <c:idx val="1"/>
          <c:order val="1"/>
          <c:tx>
            <c:strRef>
              <c:f>'Local Dr'!$B$5</c:f>
              <c:strCache>
                <c:ptCount val="1"/>
                <c:pt idx="0">
                  <c:v>Nombre de médecins locaux,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Dr'!$C$3:$P$3</c:f>
              <c:strCache>
                <c:ptCount val="14"/>
                <c:pt idx="0">
                  <c:v>Fidji</c:v>
                </c:pt>
                <c:pt idx="1">
                  <c:v>Îles Salomon</c:v>
                </c:pt>
                <c:pt idx="2">
                  <c:v>Tonga</c:v>
                </c:pt>
                <c:pt idx="3">
                  <c:v>Samoa</c:v>
                </c:pt>
                <c:pt idx="4">
                  <c:v>Vanuatu</c:v>
                </c:pt>
                <c:pt idx="5">
                  <c:v>Kiribati</c:v>
                </c:pt>
                <c:pt idx="6">
                  <c:v>États féd. Micronésie</c:v>
                </c:pt>
                <c:pt idx="7">
                  <c:v>Tuvalu</c:v>
                </c:pt>
                <c:pt idx="8">
                  <c:v>Îles Cook</c:v>
                </c:pt>
                <c:pt idx="9">
                  <c:v>Îles Marshall</c:v>
                </c:pt>
                <c:pt idx="10">
                  <c:v>Palau</c:v>
                </c:pt>
                <c:pt idx="11">
                  <c:v>Nauru</c:v>
                </c:pt>
                <c:pt idx="12">
                  <c:v>Tokelau</c:v>
                </c:pt>
                <c:pt idx="13">
                  <c:v>Niue</c:v>
                </c:pt>
              </c:strCache>
            </c:strRef>
          </c:cat>
          <c:val>
            <c:numRef>
              <c:f>'Local Dr'!$C$5:$P$5</c:f>
              <c:numCache>
                <c:formatCode>0</c:formatCode>
                <c:ptCount val="14"/>
                <c:pt idx="0">
                  <c:v>738</c:v>
                </c:pt>
                <c:pt idx="1">
                  <c:v>170</c:v>
                </c:pt>
                <c:pt idx="2">
                  <c:v>80</c:v>
                </c:pt>
                <c:pt idx="3">
                  <c:v>75</c:v>
                </c:pt>
                <c:pt idx="4">
                  <c:v>67</c:v>
                </c:pt>
                <c:pt idx="5">
                  <c:v>51</c:v>
                </c:pt>
                <c:pt idx="6">
                  <c:v>39</c:v>
                </c:pt>
                <c:pt idx="7">
                  <c:v>27</c:v>
                </c:pt>
                <c:pt idx="8">
                  <c:v>17</c:v>
                </c:pt>
                <c:pt idx="9">
                  <c:v>11</c:v>
                </c:pt>
                <c:pt idx="10">
                  <c:v>11</c:v>
                </c:pt>
                <c:pt idx="11">
                  <c:v>4</c:v>
                </c:pt>
                <c:pt idx="12">
                  <c:v>2</c:v>
                </c:pt>
                <c:pt idx="13">
                  <c:v>1</c:v>
                </c:pt>
              </c:numCache>
            </c:numRef>
          </c:val>
          <c:extLst xmlns:c16r2="http://schemas.microsoft.com/office/drawing/2015/06/chart">
            <c:ext xmlns:c16="http://schemas.microsoft.com/office/drawing/2014/chart" uri="{C3380CC4-5D6E-409C-BE32-E72D297353CC}">
              <c16:uniqueId val="{00000001-1C06-47BD-8D77-C37C29FD8729}"/>
            </c:ext>
          </c:extLst>
        </c:ser>
        <c:dLbls>
          <c:showLegendKey val="0"/>
          <c:showVal val="0"/>
          <c:showCatName val="0"/>
          <c:showSerName val="0"/>
          <c:showPercent val="0"/>
          <c:showBubbleSize val="0"/>
        </c:dLbls>
        <c:gapWidth val="219"/>
        <c:overlap val="-27"/>
        <c:axId val="207946112"/>
        <c:axId val="207947648"/>
      </c:barChart>
      <c:catAx>
        <c:axId val="207946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947648"/>
        <c:crosses val="autoZero"/>
        <c:auto val="1"/>
        <c:lblAlgn val="ctr"/>
        <c:lblOffset val="100"/>
        <c:noMultiLvlLbl val="0"/>
      </c:catAx>
      <c:valAx>
        <c:axId val="207947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946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Dr'!$C$34:$M$34</c:f>
              <c:strCache>
                <c:ptCount val="11"/>
                <c:pt idx="0">
                  <c:v>Tuvalu</c:v>
                </c:pt>
                <c:pt idx="1">
                  <c:v>Îles Cook</c:v>
                </c:pt>
                <c:pt idx="2">
                  <c:v>Fidji</c:v>
                </c:pt>
                <c:pt idx="3">
                  <c:v>Tonga</c:v>
                </c:pt>
                <c:pt idx="4">
                  <c:v>Tokelau</c:v>
                </c:pt>
                <c:pt idx="5">
                  <c:v>Niue</c:v>
                </c:pt>
                <c:pt idx="6">
                  <c:v>Palau</c:v>
                </c:pt>
                <c:pt idx="7">
                  <c:v>Kiribati</c:v>
                </c:pt>
                <c:pt idx="8">
                  <c:v>Samoa</c:v>
                </c:pt>
                <c:pt idx="9">
                  <c:v>États féd. Micronésie</c:v>
                </c:pt>
                <c:pt idx="10">
                  <c:v>Nauru</c:v>
                </c:pt>
              </c:strCache>
            </c:strRef>
          </c:cat>
          <c:val>
            <c:numRef>
              <c:f>'Local Dr'!$C$37:$M$37</c:f>
              <c:numCache>
                <c:formatCode>0.0</c:formatCode>
                <c:ptCount val="11"/>
                <c:pt idx="0">
                  <c:v>24.545454545454547</c:v>
                </c:pt>
                <c:pt idx="1">
                  <c:v>9.7701149425287355</c:v>
                </c:pt>
                <c:pt idx="2">
                  <c:v>8.3626496942547472</c:v>
                </c:pt>
                <c:pt idx="3">
                  <c:v>7.2727272727272725</c:v>
                </c:pt>
                <c:pt idx="4">
                  <c:v>7.1428571428571432</c:v>
                </c:pt>
                <c:pt idx="5">
                  <c:v>6.25</c:v>
                </c:pt>
                <c:pt idx="6">
                  <c:v>5.5</c:v>
                </c:pt>
                <c:pt idx="7">
                  <c:v>4.25</c:v>
                </c:pt>
                <c:pt idx="8">
                  <c:v>3.8609442325215055</c:v>
                </c:pt>
                <c:pt idx="9">
                  <c:v>3.6986106501019487</c:v>
                </c:pt>
                <c:pt idx="10">
                  <c:v>3.6363636363636362</c:v>
                </c:pt>
              </c:numCache>
            </c:numRef>
          </c:val>
          <c:extLst xmlns:c16r2="http://schemas.microsoft.com/office/drawing/2015/06/chart">
            <c:ext xmlns:c16="http://schemas.microsoft.com/office/drawing/2014/chart" uri="{C3380CC4-5D6E-409C-BE32-E72D297353CC}">
              <c16:uniqueId val="{00000000-3D63-494F-A8E5-88AE72CFC959}"/>
            </c:ext>
          </c:extLst>
        </c:ser>
        <c:dLbls>
          <c:showLegendKey val="0"/>
          <c:showVal val="0"/>
          <c:showCatName val="0"/>
          <c:showSerName val="0"/>
          <c:showPercent val="0"/>
          <c:showBubbleSize val="0"/>
        </c:dLbls>
        <c:gapWidth val="219"/>
        <c:overlap val="-27"/>
        <c:axId val="241323392"/>
        <c:axId val="256828160"/>
      </c:barChart>
      <c:catAx>
        <c:axId val="241323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6828160"/>
        <c:crosses val="autoZero"/>
        <c:auto val="1"/>
        <c:lblAlgn val="ctr"/>
        <c:lblOffset val="100"/>
        <c:noMultiLvlLbl val="0"/>
      </c:catAx>
      <c:valAx>
        <c:axId val="2568281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323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'Highest Q'!$Q$10</c:f>
              <c:strCache>
                <c:ptCount val="1"/>
                <c:pt idx="0">
                  <c:v>2012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'Highest Q'!$P$11:$P$14</c:f>
              <c:strCache>
                <c:ptCount val="4"/>
                <c:pt idx="0">
                  <c:v>Aucun (Diplôme en médecine et chirurgie)</c:v>
                </c:pt>
                <c:pt idx="1">
                  <c:v>Diplôme d’études supérieures</c:v>
                </c:pt>
                <c:pt idx="2">
                  <c:v>Master</c:v>
                </c:pt>
                <c:pt idx="3">
                  <c:v>Doctorat ou post-doctorat</c:v>
                </c:pt>
              </c:strCache>
            </c:strRef>
          </c:cat>
          <c:val>
            <c:numRef>
              <c:f>'Highest Q'!$Q$11:$Q$14</c:f>
              <c:numCache>
                <c:formatCode>General</c:formatCode>
                <c:ptCount val="4"/>
                <c:pt idx="0">
                  <c:v>424</c:v>
                </c:pt>
                <c:pt idx="1">
                  <c:v>150</c:v>
                </c:pt>
                <c:pt idx="2">
                  <c:v>81</c:v>
                </c:pt>
                <c:pt idx="3">
                  <c:v>8</c:v>
                </c:pt>
              </c:numCache>
            </c:numRef>
          </c:val>
          <c:extLst xmlns:c16r2="http://schemas.microsoft.com/office/drawing/2015/06/chart">
            <c:ext xmlns:c16="http://schemas.microsoft.com/office/drawing/2014/chart" uri="{C3380CC4-5D6E-409C-BE32-E72D297353CC}">
              <c16:uniqueId val="{00000000-E944-4523-99FC-E7400204F5E4}"/>
            </c:ext>
          </c:extLst>
        </c:ser>
        <c:ser>
          <c:idx val="1"/>
          <c:order val="1"/>
          <c:tx>
            <c:strRef>
              <c:f>'Highest Q'!$R$10</c:f>
              <c:strCache>
                <c:ptCount val="1"/>
                <c:pt idx="0">
                  <c:v>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'Highest Q'!$P$11:$P$14</c:f>
              <c:strCache>
                <c:ptCount val="4"/>
                <c:pt idx="0">
                  <c:v>Aucun (Diplôme en médecine et chirurgie)</c:v>
                </c:pt>
                <c:pt idx="1">
                  <c:v>Diplôme d’études supérieures</c:v>
                </c:pt>
                <c:pt idx="2">
                  <c:v>Master</c:v>
                </c:pt>
                <c:pt idx="3">
                  <c:v>Doctorat ou post-doctorat</c:v>
                </c:pt>
              </c:strCache>
            </c:strRef>
          </c:cat>
          <c:val>
            <c:numRef>
              <c:f>'Highest Q'!$R$11:$R$14</c:f>
              <c:numCache>
                <c:formatCode>0</c:formatCode>
                <c:ptCount val="4"/>
                <c:pt idx="0">
                  <c:v>906</c:v>
                </c:pt>
                <c:pt idx="1">
                  <c:v>187</c:v>
                </c:pt>
                <c:pt idx="2">
                  <c:v>198</c:v>
                </c:pt>
                <c:pt idx="3">
                  <c:v>2</c:v>
                </c:pt>
              </c:numCache>
            </c:numRef>
          </c:val>
          <c:extLst xmlns:c16r2="http://schemas.microsoft.com/office/drawing/2015/06/chart">
            <c:ext xmlns:c16="http://schemas.microsoft.com/office/drawing/2014/chart" uri="{C3380CC4-5D6E-409C-BE32-E72D297353CC}">
              <c16:uniqueId val="{00000001-E944-4523-99FC-E7400204F5E4}"/>
            </c:ext>
          </c:extLst>
        </c:ser>
        <c:dLbls>
          <c:showLegendKey val="0"/>
          <c:showVal val="0"/>
          <c:showCatName val="0"/>
          <c:showSerName val="0"/>
          <c:showPercent val="0"/>
          <c:showBubbleSize val="0"/>
        </c:dLbls>
        <c:gapWidth val="219"/>
        <c:overlap val="-27"/>
        <c:axId val="263878912"/>
        <c:axId val="187678720"/>
      </c:barChart>
      <c:catAx>
        <c:axId val="26387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678720"/>
        <c:crosses val="autoZero"/>
        <c:auto val="1"/>
        <c:lblAlgn val="ctr"/>
        <c:lblOffset val="100"/>
        <c:noMultiLvlLbl val="0"/>
      </c:catAx>
      <c:valAx>
        <c:axId val="187678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878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Sheet3!$AF$3:$AF$17</c:f>
              <c:strCache>
                <c:ptCount val="14"/>
                <c:pt idx="0">
                  <c:v>Gynécologie-obstétrique</c:v>
                </c:pt>
                <c:pt idx="1">
                  <c:v>Chirurgie générale</c:v>
                </c:pt>
                <c:pt idx="2">
                  <c:v>Médecine</c:v>
                </c:pt>
                <c:pt idx="3">
                  <c:v>Anesthésie</c:v>
                </c:pt>
                <c:pt idx="4">
                  <c:v>Pédiatrie</c:v>
                </c:pt>
                <c:pt idx="5">
                  <c:v>Médecine d'urgence</c:v>
                </c:pt>
                <c:pt idx="6">
                  <c:v>Opthalmologie</c:v>
                </c:pt>
                <c:pt idx="7">
                  <c:v>Pathologie</c:v>
                </c:pt>
                <c:pt idx="8">
                  <c:v>Orthopédie</c:v>
                </c:pt>
                <c:pt idx="9">
                  <c:v>Psychiatrie</c:v>
                </c:pt>
                <c:pt idx="10">
                  <c:v>Radiologie</c:v>
                </c:pt>
                <c:pt idx="11">
                  <c:v>ORL</c:v>
                </c:pt>
                <c:pt idx="12">
                  <c:v>Chirurgie plastique</c:v>
                </c:pt>
                <c:pt idx="13">
                  <c:v>Cardiologie</c:v>
                </c:pt>
              </c:strCache>
            </c:strRef>
          </c:cat>
          <c:val>
            <c:numRef>
              <c:f>Sheet3!$AG$3:$AG$17</c:f>
              <c:numCache>
                <c:formatCode>General</c:formatCode>
                <c:ptCount val="15"/>
                <c:pt idx="0">
                  <c:v>64</c:v>
                </c:pt>
                <c:pt idx="1">
                  <c:v>57</c:v>
                </c:pt>
                <c:pt idx="2">
                  <c:v>54</c:v>
                </c:pt>
                <c:pt idx="3">
                  <c:v>51</c:v>
                </c:pt>
                <c:pt idx="4">
                  <c:v>43</c:v>
                </c:pt>
                <c:pt idx="5">
                  <c:v>30</c:v>
                </c:pt>
                <c:pt idx="6">
                  <c:v>18</c:v>
                </c:pt>
                <c:pt idx="7">
                  <c:v>9</c:v>
                </c:pt>
                <c:pt idx="8">
                  <c:v>7</c:v>
                </c:pt>
                <c:pt idx="9">
                  <c:v>7</c:v>
                </c:pt>
                <c:pt idx="10">
                  <c:v>6</c:v>
                </c:pt>
                <c:pt idx="11">
                  <c:v>4</c:v>
                </c:pt>
                <c:pt idx="12">
                  <c:v>1</c:v>
                </c:pt>
                <c:pt idx="13">
                  <c:v>1</c:v>
                </c:pt>
              </c:numCache>
            </c:numRef>
          </c:val>
          <c:extLst xmlns:c16r2="http://schemas.microsoft.com/office/drawing/2015/06/chart">
            <c:ext xmlns:c16="http://schemas.microsoft.com/office/drawing/2014/chart" uri="{C3380CC4-5D6E-409C-BE32-E72D297353CC}">
              <c16:uniqueId val="{00000000-13A9-4826-8C0F-26A400159431}"/>
            </c:ext>
          </c:extLst>
        </c:ser>
        <c:dLbls>
          <c:showLegendKey val="0"/>
          <c:showVal val="0"/>
          <c:showCatName val="0"/>
          <c:showSerName val="0"/>
          <c:showPercent val="0"/>
          <c:showBubbleSize val="0"/>
        </c:dLbls>
        <c:gapWidth val="219"/>
        <c:overlap val="-27"/>
        <c:axId val="205583104"/>
        <c:axId val="205584640"/>
      </c:barChart>
      <c:catAx>
        <c:axId val="205583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584640"/>
        <c:crosses val="autoZero"/>
        <c:auto val="1"/>
        <c:lblAlgn val="ctr"/>
        <c:lblOffset val="100"/>
        <c:noMultiLvlLbl val="0"/>
      </c:catAx>
      <c:valAx>
        <c:axId val="2055846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583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'SAO density 2019'!$B$51</c:f>
              <c:strCache>
                <c:ptCount val="1"/>
                <c:pt idx="0">
                  <c:v>Densité de chirurgiens, anesthésistes et obstétriciens locaux pour 100 000 habitants (cible = 20)</c:v>
                </c:pt>
              </c:strCache>
            </c:strRef>
          </c:tx>
          <c:spPr>
            <a:solidFill>
              <a:schemeClr val="accent1"/>
            </a:solidFill>
            <a:ln>
              <a:noFill/>
            </a:ln>
            <a:effectLst/>
          </c:spPr>
          <c:invertIfNegative val="0"/>
          <c:cat>
            <c:strRef>
              <c:f>'SAO density 2019'!$C$50:$P$50</c:f>
              <c:strCache>
                <c:ptCount val="14"/>
                <c:pt idx="0">
                  <c:v>Tokelau</c:v>
                </c:pt>
                <c:pt idx="1">
                  <c:v>Niue</c:v>
                </c:pt>
                <c:pt idx="2">
                  <c:v>Îles Cook</c:v>
                </c:pt>
                <c:pt idx="3">
                  <c:v>Tuvalu</c:v>
                </c:pt>
                <c:pt idx="4">
                  <c:v>Nauru</c:v>
                </c:pt>
                <c:pt idx="5">
                  <c:v>États féd. Micronésie</c:v>
                </c:pt>
                <c:pt idx="6">
                  <c:v>Îles Marshall</c:v>
                </c:pt>
                <c:pt idx="7">
                  <c:v>Fidji</c:v>
                </c:pt>
                <c:pt idx="8">
                  <c:v>Palau</c:v>
                </c:pt>
                <c:pt idx="9">
                  <c:v>Samoa</c:v>
                </c:pt>
                <c:pt idx="10">
                  <c:v>Kiribati</c:v>
                </c:pt>
                <c:pt idx="11">
                  <c:v>Tonga</c:v>
                </c:pt>
                <c:pt idx="12">
                  <c:v>Vanuatu</c:v>
                </c:pt>
                <c:pt idx="13">
                  <c:v>Îles Salomon</c:v>
                </c:pt>
              </c:strCache>
            </c:strRef>
          </c:cat>
          <c:val>
            <c:numRef>
              <c:f>'SAO density 2019'!$C$51:$P$51</c:f>
              <c:numCache>
                <c:formatCode>0.0</c:formatCode>
                <c:ptCount val="14"/>
                <c:pt idx="0">
                  <c:v>71.428571428571431</c:v>
                </c:pt>
                <c:pt idx="1">
                  <c:v>62.5</c:v>
                </c:pt>
                <c:pt idx="2">
                  <c:v>22.988505747126435</c:v>
                </c:pt>
                <c:pt idx="3">
                  <c:v>18.181818181818183</c:v>
                </c:pt>
                <c:pt idx="4">
                  <c:v>0</c:v>
                </c:pt>
                <c:pt idx="5">
                  <c:v>9.4836170515434581</c:v>
                </c:pt>
                <c:pt idx="6">
                  <c:v>0</c:v>
                </c:pt>
                <c:pt idx="7">
                  <c:v>10.509816507644478</c:v>
                </c:pt>
                <c:pt idx="8">
                  <c:v>10</c:v>
                </c:pt>
                <c:pt idx="9">
                  <c:v>8.7514735937154118</c:v>
                </c:pt>
                <c:pt idx="10">
                  <c:v>6.666666666666667</c:v>
                </c:pt>
                <c:pt idx="11">
                  <c:v>7.2727272727272725</c:v>
                </c:pt>
                <c:pt idx="12">
                  <c:v>3.4518467380048325</c:v>
                </c:pt>
                <c:pt idx="13">
                  <c:v>3.5208680317429217</c:v>
                </c:pt>
              </c:numCache>
            </c:numRef>
          </c:val>
          <c:extLst xmlns:c16r2="http://schemas.microsoft.com/office/drawing/2015/06/chart">
            <c:ext xmlns:c16="http://schemas.microsoft.com/office/drawing/2014/chart" uri="{C3380CC4-5D6E-409C-BE32-E72D297353CC}">
              <c16:uniqueId val="{00000000-3963-4FA7-8F86-BC16CB3FFB35}"/>
            </c:ext>
          </c:extLst>
        </c:ser>
        <c:ser>
          <c:idx val="1"/>
          <c:order val="1"/>
          <c:tx>
            <c:strRef>
              <c:f>'SAO density 2019'!$B$52</c:f>
              <c:strCache>
                <c:ptCount val="1"/>
                <c:pt idx="0">
                  <c:v>Densité totale (locaux + expatriés) de chirurgiens, anesthésistes et obstétriciens pour 100 000 habitants (cible = 20)</c:v>
                </c:pt>
              </c:strCache>
            </c:strRef>
          </c:tx>
          <c:spPr>
            <a:solidFill>
              <a:schemeClr val="accent2"/>
            </a:solidFill>
            <a:ln>
              <a:noFill/>
            </a:ln>
            <a:effectLst/>
          </c:spPr>
          <c:invertIfNegative val="0"/>
          <c:dLbls>
            <c:dLbl>
              <c:idx val="2"/>
              <c:spPr>
                <a:solidFill>
                  <a:srgbClr val="92D05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'SAO density 2019'!$C$50:$P$50</c:f>
              <c:strCache>
                <c:ptCount val="14"/>
                <c:pt idx="0">
                  <c:v>Tokelau</c:v>
                </c:pt>
                <c:pt idx="1">
                  <c:v>Niue</c:v>
                </c:pt>
                <c:pt idx="2">
                  <c:v>Îles Cook</c:v>
                </c:pt>
                <c:pt idx="3">
                  <c:v>Tuvalu</c:v>
                </c:pt>
                <c:pt idx="4">
                  <c:v>Nauru</c:v>
                </c:pt>
                <c:pt idx="5">
                  <c:v>États féd. Micronésie</c:v>
                </c:pt>
                <c:pt idx="6">
                  <c:v>Îles Marshall</c:v>
                </c:pt>
                <c:pt idx="7">
                  <c:v>Fidji</c:v>
                </c:pt>
                <c:pt idx="8">
                  <c:v>Palau</c:v>
                </c:pt>
                <c:pt idx="9">
                  <c:v>Samoa</c:v>
                </c:pt>
                <c:pt idx="10">
                  <c:v>Kiribati</c:v>
                </c:pt>
                <c:pt idx="11">
                  <c:v>Tonga</c:v>
                </c:pt>
                <c:pt idx="12">
                  <c:v>Vanuatu</c:v>
                </c:pt>
                <c:pt idx="13">
                  <c:v>Îles Salomon</c:v>
                </c:pt>
              </c:strCache>
            </c:strRef>
          </c:cat>
          <c:val>
            <c:numRef>
              <c:f>'SAO density 2019'!$C$52:$P$52</c:f>
              <c:numCache>
                <c:formatCode>0.0</c:formatCode>
                <c:ptCount val="14"/>
                <c:pt idx="0">
                  <c:v>142.85714285714286</c:v>
                </c:pt>
                <c:pt idx="1">
                  <c:v>62.5</c:v>
                </c:pt>
                <c:pt idx="2">
                  <c:v>34.482758620689658</c:v>
                </c:pt>
                <c:pt idx="3">
                  <c:v>18.181818181818183</c:v>
                </c:pt>
                <c:pt idx="4">
                  <c:v>18.181818181818183</c:v>
                </c:pt>
                <c:pt idx="5">
                  <c:v>18.018872397932572</c:v>
                </c:pt>
                <c:pt idx="6">
                  <c:v>11.275864013080001</c:v>
                </c:pt>
                <c:pt idx="7">
                  <c:v>10.622825287296569</c:v>
                </c:pt>
                <c:pt idx="8">
                  <c:v>10</c:v>
                </c:pt>
                <c:pt idx="9">
                  <c:v>9.2662661580516126</c:v>
                </c:pt>
                <c:pt idx="10">
                  <c:v>9.1666666666666661</c:v>
                </c:pt>
                <c:pt idx="11">
                  <c:v>8.1818181818181817</c:v>
                </c:pt>
                <c:pt idx="12">
                  <c:v>3.7970314118053157</c:v>
                </c:pt>
                <c:pt idx="13">
                  <c:v>3.5208680317429217</c:v>
                </c:pt>
              </c:numCache>
            </c:numRef>
          </c:val>
          <c:extLst xmlns:c16r2="http://schemas.microsoft.com/office/drawing/2015/06/chart">
            <c:ext xmlns:c16="http://schemas.microsoft.com/office/drawing/2014/chart" uri="{C3380CC4-5D6E-409C-BE32-E72D297353CC}">
              <c16:uniqueId val="{00000001-3963-4FA7-8F86-BC16CB3FFB35}"/>
            </c:ext>
          </c:extLst>
        </c:ser>
        <c:dLbls>
          <c:showLegendKey val="0"/>
          <c:showVal val="0"/>
          <c:showCatName val="0"/>
          <c:showSerName val="0"/>
          <c:showPercent val="0"/>
          <c:showBubbleSize val="0"/>
        </c:dLbls>
        <c:gapWidth val="219"/>
        <c:overlap val="-27"/>
        <c:axId val="206938496"/>
        <c:axId val="206940032"/>
      </c:barChart>
      <c:catAx>
        <c:axId val="206938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940032"/>
        <c:crosses val="autoZero"/>
        <c:auto val="1"/>
        <c:lblAlgn val="ctr"/>
        <c:lblOffset val="100"/>
        <c:noMultiLvlLbl val="0"/>
      </c:catAx>
      <c:valAx>
        <c:axId val="2069400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93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'Gender analysis'!$A$9</c:f>
              <c:strCache>
                <c:ptCount val="1"/>
                <c:pt idx="0">
                  <c:v>Part des médecins locaux de sexe féminin, 2012 (%)</c:v>
                </c:pt>
              </c:strCache>
            </c:strRef>
          </c:tx>
          <c:spPr>
            <a:solidFill>
              <a:schemeClr val="accent1"/>
            </a:solidFill>
            <a:ln>
              <a:noFill/>
            </a:ln>
            <a:effectLst/>
          </c:spPr>
          <c:invertIfNegative val="0"/>
          <c:cat>
            <c:strRef>
              <c:f>'Gender analysis'!$B$8:$O$8</c:f>
              <c:strCache>
                <c:ptCount val="14"/>
                <c:pt idx="0">
                  <c:v>Tuvalu</c:v>
                </c:pt>
                <c:pt idx="1">
                  <c:v>Kiribati</c:v>
                </c:pt>
                <c:pt idx="2">
                  <c:v>Fidji</c:v>
                </c:pt>
                <c:pt idx="3">
                  <c:v>Nauru</c:v>
                </c:pt>
                <c:pt idx="4">
                  <c:v>Tonga</c:v>
                </c:pt>
                <c:pt idx="5">
                  <c:v>Samoa</c:v>
                </c:pt>
                <c:pt idx="6">
                  <c:v>Vanuatu</c:v>
                </c:pt>
                <c:pt idx="7">
                  <c:v>Îles Salomon</c:v>
                </c:pt>
                <c:pt idx="8">
                  <c:v>Îles Cook</c:v>
                </c:pt>
                <c:pt idx="9">
                  <c:v> États féd. Micronésie</c:v>
                </c:pt>
                <c:pt idx="10">
                  <c:v>Palau</c:v>
                </c:pt>
                <c:pt idx="11">
                  <c:v>Îles Marshall</c:v>
                </c:pt>
                <c:pt idx="12">
                  <c:v>Tokelau</c:v>
                </c:pt>
                <c:pt idx="13">
                  <c:v>Niue</c:v>
                </c:pt>
              </c:strCache>
            </c:strRef>
          </c:cat>
          <c:val>
            <c:numRef>
              <c:f>'Gender analysis'!$B$9:$O$9</c:f>
              <c:numCache>
                <c:formatCode>0</c:formatCode>
                <c:ptCount val="14"/>
                <c:pt idx="0" formatCode="General">
                  <c:v>42.857142857142854</c:v>
                </c:pt>
                <c:pt idx="1">
                  <c:v>38.888888888888893</c:v>
                </c:pt>
                <c:pt idx="2" formatCode="0.0">
                  <c:v>43.943661971830991</c:v>
                </c:pt>
                <c:pt idx="3" formatCode="General">
                  <c:v>0</c:v>
                </c:pt>
                <c:pt idx="4">
                  <c:v>38.636363636363633</c:v>
                </c:pt>
                <c:pt idx="5">
                  <c:v>43.636363636363633</c:v>
                </c:pt>
                <c:pt idx="6">
                  <c:v>37.037037037037038</c:v>
                </c:pt>
                <c:pt idx="7">
                  <c:v>22.784810126582279</c:v>
                </c:pt>
                <c:pt idx="8">
                  <c:v>13.333333333333334</c:v>
                </c:pt>
                <c:pt idx="9">
                  <c:v>36.95652173913043</c:v>
                </c:pt>
                <c:pt idx="10">
                  <c:v>28.571428571428569</c:v>
                </c:pt>
                <c:pt idx="11">
                  <c:v>50</c:v>
                </c:pt>
                <c:pt idx="12">
                  <c:v>25</c:v>
                </c:pt>
                <c:pt idx="13">
                  <c:v>50</c:v>
                </c:pt>
              </c:numCache>
            </c:numRef>
          </c:val>
          <c:extLst xmlns:c16r2="http://schemas.microsoft.com/office/drawing/2015/06/chart">
            <c:ext xmlns:c16="http://schemas.microsoft.com/office/drawing/2014/chart" uri="{C3380CC4-5D6E-409C-BE32-E72D297353CC}">
              <c16:uniqueId val="{00000000-F10B-402E-B05E-E88AFC2BE225}"/>
            </c:ext>
          </c:extLst>
        </c:ser>
        <c:ser>
          <c:idx val="1"/>
          <c:order val="1"/>
          <c:tx>
            <c:strRef>
              <c:f>'Gender analysis'!$A$10</c:f>
              <c:strCache>
                <c:ptCount val="1"/>
                <c:pt idx="0">
                  <c:v>Part des médecins locaux de sexe féminin, 2019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'Gender analysis'!$B$8:$O$8</c:f>
              <c:strCache>
                <c:ptCount val="14"/>
                <c:pt idx="0">
                  <c:v>Tuvalu</c:v>
                </c:pt>
                <c:pt idx="1">
                  <c:v>Kiribati</c:v>
                </c:pt>
                <c:pt idx="2">
                  <c:v>Fidji</c:v>
                </c:pt>
                <c:pt idx="3">
                  <c:v>Nauru</c:v>
                </c:pt>
                <c:pt idx="4">
                  <c:v>Tonga</c:v>
                </c:pt>
                <c:pt idx="5">
                  <c:v>Samoa</c:v>
                </c:pt>
                <c:pt idx="6">
                  <c:v>Vanuatu</c:v>
                </c:pt>
                <c:pt idx="7">
                  <c:v>Îles Salomon</c:v>
                </c:pt>
                <c:pt idx="8">
                  <c:v>Îles Cook</c:v>
                </c:pt>
                <c:pt idx="9">
                  <c:v> États féd. Micronésie</c:v>
                </c:pt>
                <c:pt idx="10">
                  <c:v>Palau</c:v>
                </c:pt>
                <c:pt idx="11">
                  <c:v>Îles Marshall</c:v>
                </c:pt>
                <c:pt idx="12">
                  <c:v>Tokelau</c:v>
                </c:pt>
                <c:pt idx="13">
                  <c:v>Niue</c:v>
                </c:pt>
              </c:strCache>
            </c:strRef>
          </c:cat>
          <c:val>
            <c:numRef>
              <c:f>'Gender analysis'!$B$10:$O$10</c:f>
              <c:numCache>
                <c:formatCode>0</c:formatCode>
                <c:ptCount val="14"/>
                <c:pt idx="0" formatCode="0.0">
                  <c:v>88.888888888888886</c:v>
                </c:pt>
                <c:pt idx="1">
                  <c:v>62.745098039215684</c:v>
                </c:pt>
                <c:pt idx="2" formatCode="0.0">
                  <c:v>50.675675675675677</c:v>
                </c:pt>
                <c:pt idx="3" formatCode="General">
                  <c:v>50</c:v>
                </c:pt>
                <c:pt idx="4">
                  <c:v>47.5</c:v>
                </c:pt>
                <c:pt idx="5">
                  <c:v>45.121951219512198</c:v>
                </c:pt>
                <c:pt idx="6">
                  <c:v>40.298507462686565</c:v>
                </c:pt>
                <c:pt idx="7">
                  <c:v>28.235294117647058</c:v>
                </c:pt>
                <c:pt idx="8">
                  <c:v>20.689655172413794</c:v>
                </c:pt>
                <c:pt idx="9">
                  <c:v>20</c:v>
                </c:pt>
                <c:pt idx="10">
                  <c:v>18.518518518518519</c:v>
                </c:pt>
                <c:pt idx="11">
                  <c:v>7.1428571428571423</c:v>
                </c:pt>
                <c:pt idx="12">
                  <c:v>0</c:v>
                </c:pt>
                <c:pt idx="13">
                  <c:v>0</c:v>
                </c:pt>
              </c:numCache>
            </c:numRef>
          </c:val>
          <c:extLst xmlns:c16r2="http://schemas.microsoft.com/office/drawing/2015/06/chart">
            <c:ext xmlns:c16="http://schemas.microsoft.com/office/drawing/2014/chart" uri="{C3380CC4-5D6E-409C-BE32-E72D297353CC}">
              <c16:uniqueId val="{00000001-F10B-402E-B05E-E88AFC2BE225}"/>
            </c:ext>
          </c:extLst>
        </c:ser>
        <c:dLbls>
          <c:showLegendKey val="0"/>
          <c:showVal val="0"/>
          <c:showCatName val="0"/>
          <c:showSerName val="0"/>
          <c:showPercent val="0"/>
          <c:showBubbleSize val="0"/>
        </c:dLbls>
        <c:gapWidth val="219"/>
        <c:overlap val="-27"/>
        <c:axId val="207831040"/>
        <c:axId val="207832576"/>
      </c:barChart>
      <c:catAx>
        <c:axId val="207831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832576"/>
        <c:crosses val="autoZero"/>
        <c:auto val="1"/>
        <c:lblAlgn val="ctr"/>
        <c:lblOffset val="100"/>
        <c:noMultiLvlLbl val="0"/>
      </c:catAx>
      <c:valAx>
        <c:axId val="207832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831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'Gender &amp; age by Qual'!$L$2:$O$2</c:f>
              <c:strCache>
                <c:ptCount val="4"/>
                <c:pt idx="0">
                  <c:v>Public Health</c:v>
                </c:pt>
                <c:pt idx="1">
                  <c:v>Applied Epidemiology</c:v>
                </c:pt>
                <c:pt idx="2">
                  <c:v>Health Services Management</c:v>
                </c:pt>
                <c:pt idx="3">
                  <c:v>Other public health-related qualifications </c:v>
                </c:pt>
              </c:strCache>
            </c:strRef>
          </c:cat>
          <c:val>
            <c:numRef>
              <c:f>'Gender &amp; age by Qual'!$L$5:$O$5</c:f>
              <c:numCache>
                <c:formatCode>General</c:formatCode>
                <c:ptCount val="4"/>
                <c:pt idx="0">
                  <c:v>45</c:v>
                </c:pt>
                <c:pt idx="1">
                  <c:v>4</c:v>
                </c:pt>
                <c:pt idx="2">
                  <c:v>1</c:v>
                </c:pt>
                <c:pt idx="3">
                  <c:v>5</c:v>
                </c:pt>
              </c:numCache>
            </c:numRef>
          </c:val>
          <c:extLst xmlns:c16r2="http://schemas.microsoft.com/office/drawing/2015/06/chart">
            <c:ext xmlns:c16="http://schemas.microsoft.com/office/drawing/2014/chart" uri="{C3380CC4-5D6E-409C-BE32-E72D297353CC}">
              <c16:uniqueId val="{00000000-7744-4949-8023-6DDDAFAAB536}"/>
            </c:ext>
          </c:extLst>
        </c:ser>
        <c:dLbls>
          <c:showLegendKey val="0"/>
          <c:showVal val="0"/>
          <c:showCatName val="0"/>
          <c:showSerName val="0"/>
          <c:showPercent val="0"/>
          <c:showBubbleSize val="0"/>
        </c:dLbls>
        <c:gapWidth val="182"/>
        <c:axId val="212023168"/>
        <c:axId val="212024704"/>
      </c:barChart>
      <c:catAx>
        <c:axId val="212023168"/>
        <c:scaling>
          <c:orientation val="minMax"/>
        </c:scaling>
        <c:delete val="1"/>
        <c:axPos val="b"/>
        <c:numFmt formatCode="General" sourceLinked="1"/>
        <c:majorTickMark val="none"/>
        <c:minorTickMark val="none"/>
        <c:tickLblPos val="nextTo"/>
        <c:crossAx val="212024704"/>
        <c:crosses val="autoZero"/>
        <c:auto val="1"/>
        <c:lblAlgn val="ctr"/>
        <c:lblOffset val="100"/>
        <c:noMultiLvlLbl val="0"/>
      </c:catAx>
      <c:valAx>
        <c:axId val="212024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023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7EA89BDD-0C70-4DB0-BE4D-6F1329236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3115</Words>
  <Characters>17761</Characters>
  <Application>Microsoft Office Word</Application>
  <DocSecurity>0</DocSecurity>
  <Lines>148</Lines>
  <Paragraphs>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World Health Organization</Company>
  <LinksUpToDate>false</LinksUpToDate>
  <CharactersWithSpaces>20835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ARCEOM</dc:creator>
  <cp:lastModifiedBy>SealW</cp:lastModifiedBy>
  <cp:revision>7</cp:revision>
  <cp:lastPrinted>2019-06-12T23:04:00Z</cp:lastPrinted>
  <dcterms:created xsi:type="dcterms:W3CDTF">2019-07-26T00:06:00Z</dcterms:created>
  <dcterms:modified xsi:type="dcterms:W3CDTF">2019-07-27T04:46:00Z</dcterms:modified>
</cp:coreProperties>
</file>